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On May 21, 2026, Gogoro Inc. issued a press release announcing its financial and operating results for the first quarter ended March 31, 2026. A copy of the press release is furnished herewith as Exhibit 99.1 to this Report on Form 6-K and is incorporated by reference herein.</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statements on Form F-3 (File Nos. 333-264619 and 333-281734), and shall be a part thereof, to the extent not superseded by documents or reports subsequently filed or furnished.</w:t>
      </w:r>
    </w:p>
    <w:p>
      <w:pPr>
        <w:sectPr>
          <w:pgSz w:w="11900" w:h="16838" w:orient="portrait"/>
          <w:cols w:equalWidth="0" w:num="1">
            <w:col w:w="11180"/>
          </w:cols>
          <w:pgMar w:left="320" w:top="1440" w:right="39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w w:val="98"/>
              </w:rPr>
              <w:t>EXHIBITS INDEX</w:t>
            </w:r>
          </w:p>
        </w:tc>
      </w:tr>
      <w:tr>
        <w:trPr>
          <w:trHeight w:val="67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Gogoro Inc., dated May 21, 2026.</w:t>
            </w:r>
          </w:p>
        </w:tc>
        <w:tc>
          <w:tcPr>
            <w:tcW w:w="114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8"/>
          <w:szCs w:val="18"/>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-119380</wp:posOffset>
            </wp:positionV>
            <wp:extent cx="14541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Morrison Aitken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80"/>
          </w:cols>
          <w:pgMar w:left="320" w:top="14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Gogoro Releases First Quarter Financial Results,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Operational Discipline and Product Momentum Position Gogoro for Sustained Growth in 2026</w:t>
      </w:r>
    </w:p>
    <w:p>
      <w:pPr>
        <w:spacing w:after="0" w:line="221"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TAIPEI, TAIWAN, May 21, 2026 </w:t>
      </w:r>
      <w:r>
        <w:rPr>
          <w:rFonts w:ascii="Times New Roman" w:cs="Times New Roman" w:eastAsia="Times New Roman" w:hAnsi="Times New Roman"/>
          <w:sz w:val="20"/>
          <w:szCs w:val="20"/>
          <w:color w:val="auto"/>
        </w:rPr>
        <w:t>– Gogoro Inc. (“Gogoro,” “the Company” or “we”) (Nasdaq: GGR), a global technology leader in battery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swapping ecosystems that enable sustainable mobility solutions for cities, today released its financial results for its first quarter ended March 31, 2026.</w:t>
      </w:r>
    </w:p>
    <w:p>
      <w:pPr>
        <w:spacing w:after="0" w:line="216" w:lineRule="exact"/>
        <w:rPr>
          <w:sz w:val="20"/>
          <w:szCs w:val="20"/>
          <w:color w:val="auto"/>
        </w:rPr>
      </w:pPr>
    </w:p>
    <w:p>
      <w:pPr>
        <w:ind w:left="660" w:right="6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Operating cash flow for the first quarter of 2026 increased by $12.0 million to $3.1 million, up from $(8.9) million in the same period last year, reflecting improved working capital management and ongoing cost discipline.</w:t>
      </w:r>
    </w:p>
    <w:p>
      <w:pPr>
        <w:spacing w:after="0" w:line="192" w:lineRule="exact"/>
        <w:rPr>
          <w:rFonts w:ascii="Times New Roman" w:cs="Times New Roman" w:eastAsia="Times New Roman" w:hAnsi="Times New Roman"/>
          <w:sz w:val="20"/>
          <w:szCs w:val="20"/>
          <w:b w:val="1"/>
          <w:bCs w:val="1"/>
          <w:color w:val="auto"/>
        </w:rPr>
      </w:pPr>
    </w:p>
    <w:p>
      <w:pPr>
        <w:ind w:left="660" w:right="40" w:hanging="328"/>
        <w:spacing w:after="0" w:line="283"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Continued focus on manufacturing cost discipline and operational efficiency resulted in IFRS gross margin of 20.4% (up 15.5 percentage points year-over-year) and non-IFRS gross margin of 20.5% (up 2.3 percentage points year-over-year), respectively. Notably, our IFRS gross margin has now converged with non-IFRS levels, slightly surpassing last year’s non-IFRS benchmark.</w:t>
      </w:r>
    </w:p>
    <w:p>
      <w:pPr>
        <w:spacing w:after="0" w:line="224" w:lineRule="exact"/>
        <w:rPr>
          <w:rFonts w:ascii="Times New Roman" w:cs="Times New Roman" w:eastAsia="Times New Roman" w:hAnsi="Times New Roman"/>
          <w:sz w:val="20"/>
          <w:szCs w:val="20"/>
          <w:b w:val="1"/>
          <w:bCs w:val="1"/>
          <w:color w:val="auto"/>
        </w:rPr>
      </w:pPr>
    </w:p>
    <w:p>
      <w:pPr>
        <w:ind w:left="660" w:right="300" w:hanging="328"/>
        <w:spacing w:after="0" w:line="315"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decreased by $10.7 million to $(7.9) million, which is a significant decrease from $(18.6) million in the same period last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Business Update and Outlook</w:t>
      </w:r>
    </w:p>
    <w:p>
      <w:pPr>
        <w:spacing w:after="0" w:line="216" w:lineRule="exact"/>
        <w:rPr>
          <w:sz w:val="20"/>
          <w:szCs w:val="20"/>
          <w:color w:val="auto"/>
        </w:rPr>
      </w:pPr>
    </w:p>
    <w:p>
      <w:pPr>
        <w:ind w:left="660" w:right="40" w:hanging="328"/>
        <w:spacing w:after="0" w:line="294" w:lineRule="auto"/>
        <w:tabs>
          <w:tab w:leader="none" w:pos="649"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Energy Business Progressing Toward Profitability – </w:t>
      </w:r>
      <w:r>
        <w:rPr>
          <w:rFonts w:ascii="Times New Roman" w:cs="Times New Roman" w:eastAsia="Times New Roman" w:hAnsi="Times New Roman"/>
          <w:sz w:val="19"/>
          <w:szCs w:val="19"/>
          <w:color w:val="auto"/>
        </w:rPr>
        <w:t>We are excited that the energy business is on a clear path to profitability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2026, consistent with our plan communicated over the past year. During the period, we began enhancing platform efficiency through the retirement and recycling of legacy first generation batteries, improving system utilization and customer experience. At the same time, we are preparing for the deployment of next-generation batteries with improved cost efficiency and higher performance, further strengthening the long-term economics of the energy platform. Planned capital expenditures for the energy business are expected to be approximately $30 million in 2026, supporting ongoing network optimization and technology upgrades.</w:t>
      </w:r>
    </w:p>
    <w:p>
      <w:pPr>
        <w:spacing w:after="0" w:line="162" w:lineRule="exact"/>
        <w:rPr>
          <w:rFonts w:ascii="Times New Roman" w:cs="Times New Roman" w:eastAsia="Times New Roman" w:hAnsi="Times New Roman"/>
          <w:sz w:val="19"/>
          <w:szCs w:val="19"/>
          <w:color w:val="auto"/>
        </w:rPr>
      </w:pPr>
    </w:p>
    <w:p>
      <w:pPr>
        <w:ind w:left="660" w:right="40" w:hanging="328"/>
        <w:spacing w:after="0" w:line="291" w:lineRule="auto"/>
        <w:tabs>
          <w:tab w:leader="none" w:pos="65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b w:val="1"/>
          <w:bCs w:val="1"/>
          <w:color w:val="auto"/>
        </w:rPr>
        <w:t xml:space="preserve">Product Portfolio Execution and Early Growth Signals </w:t>
      </w:r>
      <w:r>
        <w:rPr>
          <w:rFonts w:ascii="Times New Roman" w:cs="Times New Roman" w:eastAsia="Times New Roman" w:hAnsi="Times New Roman"/>
          <w:sz w:val="19"/>
          <w:szCs w:val="19"/>
          <w:color w:val="auto"/>
        </w:rPr>
        <w:t>– The first quarter marked the successful launch of the EZZY 500 Disney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co-branded model, generating strong initial demand. Revenue contribution and broader vehicle deliveries for this model are expected to materialize in the second quarter. As a targeted entry-level model, it resulted in a modest dilution to the average selling price, as expected, while overall performance aligned with our expectations. Even so, we're encouraged to see our recurring revenue engine fueled by year-over-year 32.8% vehicle registered volume increase. Building on this initial success, we are advancing a more diversified product strategy in 2026 to strengthen our coverage across core customer cohorts and support sustainable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0" w:right="339" w:bottom="1440" w:gutter="0" w:footer="0" w:header="0"/>
        </w:sectPr>
      </w:pPr>
    </w:p>
    <w:bookmarkStart w:id="5" w:name="page6"/>
    <w:bookmarkEnd w:id="5"/>
    <w:p>
      <w:pPr>
        <w:ind w:left="660" w:hanging="328"/>
        <w:spacing w:after="0" w:line="273" w:lineRule="auto"/>
        <w:tabs>
          <w:tab w:leader="none" w:pos="65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B2G &amp; Commercial Mobility Expansion – </w:t>
      </w:r>
      <w:r>
        <w:rPr>
          <w:rFonts w:ascii="Times New Roman" w:cs="Times New Roman" w:eastAsia="Times New Roman" w:hAnsi="Times New Roman"/>
          <w:sz w:val="20"/>
          <w:szCs w:val="20"/>
          <w:color w:val="auto"/>
        </w:rPr>
        <w:t>Government-related deployments continued to advance in Q1 2026, with phased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deliveries to law enforcement fleets and other public sector applications, reflecting the steady adoption of Gogoro’s battery-swapping platform within Taiwan’s electrified transportation initiatives. These deployments highlight the suitability of Gogoro’s solution for high-utilization urban fleet operations that require continuous availability. In parallel, we are progressing discussions with leading shared mobility operators regarding broader deployment opportunities for their platforms and supporting future growth in commercial fleet applications. Together, these developments underscore the expected continued expansion and increasing coverage of the Gogoro Network ecosystem across public and commercial mobility segments.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Summary</w:t>
      </w:r>
    </w:p>
    <w:p>
      <w:pPr>
        <w:spacing w:after="0" w:line="233"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revenue of $62.9 million, down 1.1% year-over-year and down 4.9%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p>
    <w:p>
      <w:pPr>
        <w:spacing w:after="0" w:line="15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battery swapping service revenue of $36.6 million, up 6.2% year-over-year and up 2.1% on a constant currency basis.</w:t>
      </w:r>
    </w:p>
    <w:p>
      <w:pPr>
        <w:spacing w:after="0" w:line="215" w:lineRule="exact"/>
        <w:rPr>
          <w:rFonts w:ascii="Times New Roman" w:cs="Times New Roman" w:eastAsia="Times New Roman" w:hAnsi="Times New Roman"/>
          <w:sz w:val="20"/>
          <w:szCs w:val="20"/>
          <w:color w:val="auto"/>
        </w:rPr>
      </w:pPr>
    </w:p>
    <w:p>
      <w:pPr>
        <w:ind w:left="660" w:right="180" w:hanging="328"/>
        <w:spacing w:after="0" w:line="297"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revenue from sales of hardware and others of $26.3 million, down 9.8% year-over-year and down 13.2% on a constant currency basis.</w:t>
      </w:r>
    </w:p>
    <w:p>
      <w:pPr>
        <w:spacing w:after="0" w:line="132" w:lineRule="exact"/>
        <w:rPr>
          <w:rFonts w:ascii="Times New Roman" w:cs="Times New Roman" w:eastAsia="Times New Roman" w:hAnsi="Times New Roman"/>
          <w:sz w:val="20"/>
          <w:szCs w:val="20"/>
          <w:color w:val="auto"/>
        </w:rPr>
      </w:pPr>
    </w:p>
    <w:p>
      <w:pPr>
        <w:ind w:left="660" w:hanging="328"/>
        <w:spacing w:after="0" w:line="297" w:lineRule="auto"/>
        <w:tabs>
          <w:tab w:leader="none" w:pos="64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gross margin of 20.4%, up from 4.9% in the same period last year. First quarter non-IFRS gross margin of 20.5%, up 2.3 percentage points year-over-year.</w:t>
      </w:r>
    </w:p>
    <w:p>
      <w:pPr>
        <w:spacing w:after="0" w:line="13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net loss of $7.9 million, improved from $18.6 million in the same period last year.</w:t>
      </w:r>
    </w:p>
    <w:p>
      <w:pPr>
        <w:spacing w:after="0" w:line="20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adjusted EBITDA of $16.3 million, up from $14.3 million in the same period last year.</w:t>
      </w:r>
    </w:p>
    <w:p>
      <w:pPr>
        <w:spacing w:after="0" w:line="21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 xml:space="preserve">“We delivered a strong start to 2026, and this is only the beginning of our next product and growth cycle. In the first quarter, we saw encouraging recovery in sales volume driven by the launch of our new vehicle models, helping us regain market momentum and reinforcing confidence in our product roadmap. While we are still in the early stages of expanding our product offerings, the progress we are seeing across our product portfolio and ecosystem development positions us well for stronger execution in the quarters ahead,” </w:t>
      </w:r>
      <w:r>
        <w:rPr>
          <w:rFonts w:ascii="Times New Roman" w:cs="Times New Roman" w:eastAsia="Times New Roman" w:hAnsi="Times New Roman"/>
          <w:sz w:val="20"/>
          <w:szCs w:val="20"/>
          <w:b w:val="1"/>
          <w:bCs w:val="1"/>
          <w:color w:val="auto"/>
        </w:rPr>
        <w:t>said Henry Chiang,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CEO of Gogoro. </w:t>
      </w:r>
      <w:r>
        <w:rPr>
          <w:rFonts w:ascii="Times New Roman" w:cs="Times New Roman" w:eastAsia="Times New Roman" w:hAnsi="Times New Roman"/>
          <w:sz w:val="20"/>
          <w:szCs w:val="20"/>
          <w:color w:val="auto"/>
        </w:rPr>
        <w:t>“At the same time, our recurring revenue business continues to demonstrate the resilience and stickiness of the Gogoro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Network. We remain focused on improving network profitability while continuing strategic investments in R&amp;D and next-generation platforms to be able to expand our addressable market and strengthen the long-term foundation of our business.”</w:t>
      </w:r>
    </w:p>
    <w:p>
      <w:pPr>
        <w:spacing w:after="0" w:line="221" w:lineRule="exact"/>
        <w:rPr>
          <w:sz w:val="20"/>
          <w:szCs w:val="20"/>
          <w:color w:val="auto"/>
        </w:rPr>
      </w:pPr>
    </w:p>
    <w:p>
      <w:pPr>
        <w:ind w:left="20" w:right="60" w:firstLine="6"/>
        <w:spacing w:after="0" w:line="301" w:lineRule="auto"/>
        <w:rPr>
          <w:sz w:val="20"/>
          <w:szCs w:val="20"/>
          <w:color w:val="auto"/>
        </w:rPr>
      </w:pPr>
      <w:r>
        <w:rPr>
          <w:rFonts w:ascii="Times New Roman" w:cs="Times New Roman" w:eastAsia="Times New Roman" w:hAnsi="Times New Roman"/>
          <w:sz w:val="19"/>
          <w:szCs w:val="19"/>
          <w:color w:val="auto"/>
        </w:rPr>
        <w:t xml:space="preserve">“In the first quarter, we continued to demonstrate disciplined financial execution, with meaningful improvement in operating cash flow and stable gross margin. While top-line performance reflects ongoing product and market transitions, our focus on cost control, working capital management, and operational efficiency enabled us to deliver improved profitability metrics and stronger operating cash generation compared to the prior year,” </w:t>
      </w:r>
      <w:r>
        <w:rPr>
          <w:rFonts w:ascii="Times New Roman" w:cs="Times New Roman" w:eastAsia="Times New Roman" w:hAnsi="Times New Roman"/>
          <w:sz w:val="19"/>
          <w:szCs w:val="19"/>
          <w:b w:val="1"/>
          <w:bCs w:val="1"/>
          <w:color w:val="auto"/>
        </w:rPr>
        <w:t>said Bruce Aitken, CFO of Gogoro.</w:t>
      </w:r>
      <w:r>
        <w:rPr>
          <w:rFonts w:ascii="Times New Roman" w:cs="Times New Roman" w:eastAsia="Times New Roman" w:hAnsi="Times New Roman"/>
          <w:sz w:val="19"/>
          <w:szCs w:val="19"/>
          <w:color w:val="auto"/>
        </w:rPr>
        <w:t xml:space="preserve"> “During the quarter, we also strengthened our capital position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20" w:top="1125"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20"/>
          <w:szCs w:val="20"/>
          <w:color w:val="auto"/>
        </w:rPr>
        <w:t>successful closing of a new equity financing, providing additional financial flexibility to support our strategic priorities. Looking ahead, we remain focused on maintaining a disciplined cost structure while selectively investing in product development and platform capabilities. We expect continued improvements in Gogoro Network profitability and unit economics, positioning the Company for stronger financial performance as new product cycles and ecosystem momentum build throughout the remainder of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Overview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p>
      <w:pPr>
        <w:spacing w:after="0" w:line="166" w:lineRule="exact"/>
        <w:rPr>
          <w:sz w:val="20"/>
          <w:szCs w:val="20"/>
          <w:color w:val="auto"/>
        </w:rPr>
      </w:pPr>
    </w:p>
    <w:p>
      <w:pPr>
        <w:ind w:left="20" w:right="80"/>
        <w:spacing w:after="0" w:line="257" w:lineRule="auto"/>
        <w:rPr>
          <w:sz w:val="20"/>
          <w:szCs w:val="20"/>
          <w:color w:val="auto"/>
        </w:rPr>
      </w:pPr>
      <w:r>
        <w:rPr>
          <w:rFonts w:ascii="Times New Roman" w:cs="Times New Roman" w:eastAsia="Times New Roman" w:hAnsi="Times New Roman"/>
          <w:sz w:val="20"/>
          <w:szCs w:val="20"/>
          <w:color w:val="auto"/>
        </w:rPr>
        <w:t>For the first quarter, the total revenue was $62.9 million, down 1.1% year-over-year and down 4.9%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the same period last year, revenue would have been down by an additional $2.4 million.</w:t>
      </w:r>
    </w:p>
    <w:p>
      <w:pPr>
        <w:spacing w:after="0" w:line="253" w:lineRule="exact"/>
        <w:rPr>
          <w:sz w:val="20"/>
          <w:szCs w:val="20"/>
          <w:color w:val="auto"/>
        </w:rPr>
      </w:pPr>
    </w:p>
    <w:p>
      <w:pPr>
        <w:ind w:left="660" w:hanging="328"/>
        <w:spacing w:after="0" w:line="259" w:lineRule="auto"/>
        <w:tabs>
          <w:tab w:leader="none" w:pos="656"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Battery swapping service revenue for the first quarter was $36.6 million, up 6.2% year-over-year, and up 2.1%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Total subscribers at the end of the first quarter were 670,000, up 4% from 644,000 subscribers at the end of the same period last year. The year-over-year increase in battery swapping service revenue was primarily driven by a larger subscriber base and consistently high retention. As our subscriber base grows, our subscription model continues to enhance network utilization and operating efficiency, reinforcing the long-term economics of our battery swapping platform.</w:t>
      </w:r>
    </w:p>
    <w:p>
      <w:pPr>
        <w:spacing w:after="0" w:line="224" w:lineRule="exact"/>
        <w:rPr>
          <w:rFonts w:ascii="Arial" w:cs="Arial" w:eastAsia="Arial" w:hAnsi="Arial"/>
          <w:sz w:val="22"/>
          <w:szCs w:val="22"/>
          <w:color w:val="auto"/>
        </w:rPr>
      </w:pPr>
    </w:p>
    <w:p>
      <w:pPr>
        <w:ind w:left="660" w:right="120" w:hanging="328"/>
        <w:spacing w:after="0" w:line="265" w:lineRule="auto"/>
        <w:tabs>
          <w:tab w:leader="none" w:pos="64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from sales of hardware and others for the first quarter was $26.3 million, down 9.8% year-over-year, and down 13.2%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year-over-year decrease in revenue from sales of hardware and others was primarily driven by (i) a decrease in average selling price (“ASP”) due to a mix shift toward new entry-level models which launched in late 2025 featuring a lower price point and the slight decrease in sales of mid-to-high-end models compared to the prior-year period, (ii) a decrease in revenue from the sale of components and accessories to international customers, and (iii) a decrease in electric scooter sharing revenue due to a year-over-year decline in the number of rentals.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16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0"/>
          <w:szCs w:val="20"/>
          <w:color w:val="auto"/>
        </w:rPr>
        <w:t>For the first quarter, gross margin was 20.4%, up from 4.9% in the same period last year, while non-IFRS gross margin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20.5%, up from 18.2% in the same period last year. The increase in gross margin was primarily driven by a combination of factors reflecting improved efficiency, quality, and overall performance: (i) an $8.3 million decrease in costs associated with battery upgrade initiatives due to the completion of our upgrade program at the end of prior year, (ii) lower excess capacity costs driven by higher production and sales volumes this quarter, and (iii) lower depreciation across our installed base of battery packs due to increased network efficiency, extended battery lifespan from upgrades, and other operational improvements. The increase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263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54" w:lineRule="exact"/>
        <w:rPr>
          <w:sz w:val="20"/>
          <w:szCs w:val="20"/>
          <w:color w:val="auto"/>
        </w:rPr>
      </w:pPr>
    </w:p>
    <w:p>
      <w:pPr>
        <w:ind w:left="180" w:right="460" w:hanging="107"/>
        <w:spacing w:after="0" w:line="231" w:lineRule="auto"/>
        <w:tabs>
          <w:tab w:leader="none" w:pos="166"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This is a non-IFRS measure, see </w:t>
      </w:r>
      <w:r>
        <w:rPr>
          <w:rFonts w:ascii="Times New Roman" w:cs="Times New Roman" w:eastAsia="Times New Roman" w:hAnsi="Times New Roman"/>
          <w:sz w:val="14"/>
          <w:szCs w:val="14"/>
          <w:b w:val="1"/>
          <w:bCs w:val="1"/>
          <w:color w:val="auto"/>
        </w:rPr>
        <w:t>Use of Non-IFRS Financial Measures</w:t>
      </w:r>
      <w:r>
        <w:rPr>
          <w:rFonts w:ascii="Times New Roman" w:cs="Times New Roman" w:eastAsia="Times New Roman" w:hAnsi="Times New Roman"/>
          <w:sz w:val="14"/>
          <w:szCs w:val="14"/>
          <w:color w:val="auto"/>
        </w:rPr>
        <w:t xml:space="preserve"> for a description of the non-IFRS measures and </w:t>
      </w:r>
      <w:r>
        <w:rPr>
          <w:rFonts w:ascii="Times New Roman" w:cs="Times New Roman" w:eastAsia="Times New Roman" w:hAnsi="Times New Roman"/>
          <w:sz w:val="14"/>
          <w:szCs w:val="14"/>
          <w:b w:val="1"/>
          <w:bCs w:val="1"/>
          <w:color w:val="auto"/>
        </w:rPr>
        <w:t>Reconciliation of IFRS Financial Metrics to Non-IFRS</w:t>
      </w:r>
      <w:r>
        <w:rPr>
          <w:rFonts w:ascii="Times New Roman" w:cs="Times New Roman" w:eastAsia="Times New Roman" w:hAnsi="Times New Roman"/>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partially offset by a decrease in ASP driven by an unfavorable product mix shift toward lower-margin products.</w:t>
      </w:r>
    </w:p>
    <w:p>
      <w:pPr>
        <w:spacing w:after="0" w:line="2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20"/>
          <w:szCs w:val="20"/>
          <w:color w:val="auto"/>
        </w:rPr>
        <w:t>Over the past two years, we have undertaken a program to carry out one-time, voluntary upgrades on certain battery packs, which was completed in the fourth quarter of 2025. These upgrades provide multiple benefits — enabling a more efficient deployment of our resources than replacing battery packs, increasing lifetime capacity of each battery pack (including extending its second mobility use-case) and solidifying the incremental lifetime capacity of each battery pack to validate our second-life thesis. These upgrades are expected to generate economic benefits in the long run, but they have reduced our gross margin in prior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166"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9"/>
          <w:szCs w:val="19"/>
          <w:color w:val="auto"/>
        </w:rPr>
        <w:t>For the first quarter, net loss was $7.9 million, representing a decrease of $10.7 million from a net loss of $18.6 million in the same period last year. The decrease in net loss was primarily driven by a $9.7 million increase in gross profit, mainly attributable to an $8.3 million decrease in costs associated with battery upgrade initiatives. In addition, operating expenses declined by $2.5 million, primarily due to lower general and administrative expenses at overseas entities reflecting organizational restructuring, as well as the timing of sales and marketing</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0"/>
          <w:szCs w:val="20"/>
          <w:color w:val="auto"/>
        </w:rPr>
        <w:t>disbursements. The improvement was partially offset by an unfavorable $1.7 million change in the fair value of financial liabilities associated with outstanding earnout shares, earn-in shares and warrants, mainly due to the Gogoro stock price declining to a lesser extent compared with prior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1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For the first quarter,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$16.3 million, representing an increase of $2.0 million from $14.3 million in the same period last year. The increase was primarily due to a $0.6 million increase in non-IFRS gross profit (excluding depreciation and amortization), a $1.0 million reduction in operating expenses (excluding share-based compensation, depreciation and amortization, and impairment charges) resulting from various cost-saving initiatives, and a net increase of $0.3 million in non-operating income and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3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In the first quarter, we generated operating cash inflows of $3.1 million, compared with cash outflows of $8.9 million in the same period last year. This improvement reflected cost reductions from ongoing organizational restructuring, improved operational efficiency, and stronger supply chain and inventory management supported by robust operational performance. As of March 31, 2026, we had a cash balance of $77.3 million. During the quarter, we secured a $16.7 million equity financing from our largest shareholder, Gold Sino, representing the initial investment under the NTD$2.5 billion (approximately $80 million) equity funding undertaking provided by a director of the Company. We believe these resources provide sufficient funding to support our near-term business growth objectives.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Guidance</w:t>
      </w:r>
    </w:p>
    <w:p>
      <w:pPr>
        <w:spacing w:after="0" w:line="247"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20"/>
          <w:szCs w:val="20"/>
          <w:color w:val="auto"/>
        </w:rPr>
        <w:t>While we anticipate a gradual recovery in Taiwan’s two-wheeler market during 2026, we remain cautious given ongoing market softness. Accordingly, we expect revenue to recover modestly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02"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from 2025 levels and to be in the range between $285 million and $305 million in 2026. We estimate that approximately 95% of full-year revenue will be generated from the Taiwan market. We remain focused on executing our long-term plan to improve profitability. We anticipate the Gogoro Network battery-swapping business will achieve non-IFRS profitability in 2026, with the hardware business continuing to target non-IFRS profitability in 2028.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20"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Gogoro’s management team will hold an earnings webcast on May 21, 2026, at 8:00 a.m. Eastern Time to discuss the Company’s first quarter 2026 results of operations and outlook.</w:t>
      </w:r>
    </w:p>
    <w:p>
      <w:pPr>
        <w:spacing w:after="0" w:line="173"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20"/>
          <w:szCs w:val="20"/>
          <w:color w:val="auto"/>
        </w:rPr>
        <w:t xml:space="preserve">Investors may access the webcast, supplemental financial information and investor presentation at Gogoro’s investor relations website </w:t>
      </w:r>
      <w:r>
        <w:rPr>
          <w:rFonts w:ascii="Times New Roman" w:cs="Times New Roman" w:eastAsia="Times New Roman" w:hAnsi="Times New Roman"/>
          <w:sz w:val="20"/>
          <w:szCs w:val="20"/>
          <w:color w:val="0000FF"/>
        </w:rPr>
        <w:t xml:space="preserve">(https://investor.gogoro.com) </w:t>
      </w:r>
      <w:r>
        <w:rPr>
          <w:rFonts w:ascii="Times New Roman" w:cs="Times New Roman" w:eastAsia="Times New Roman" w:hAnsi="Times New Roman"/>
          <w:sz w:val="20"/>
          <w:szCs w:val="20"/>
          <w:color w:val="000000"/>
        </w:rPr>
        <w:t>under the “Events” section. A replay of the investor presentation and the earnings call script will be available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24 hours after the conclusion of the webcast and archived for one year.</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Gogoro</w:t>
      </w:r>
    </w:p>
    <w:p>
      <w:pPr>
        <w:spacing w:after="0" w:line="23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Founded in 2011 to rethink urban energy, Gogoro is the world’s leader in battery-swapping electric mobility, setting new standards for sustainable mobility. Powering nearly 700,000 riders and over 800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"2026 Guidance," such as estimates regarding Gogoro's revenue in 2026, the percentage of revenue from the Taiwan market and non-IFRS profitability; Gogoro's future plans and growth strategy; statements regarding Gogoro achieving profitability, including in its energy basis; the amount of Gogoro's planned capital expenditures for the energy business in 2026; Gogoro's future product strategy; Gogoro's ability to work with shared mobility operators on broader deployment opportunities; the continued expansion and increasing coverage of the Gogoro Network ecosystem; Gogoro's ability to execute on its strategy; Gogoro's ability to expand its addressable market; Gogoro's ability to improve its profitability, unit economics and stronger financial performance; the future of Gogoro's new product cycles; the potential economic benefits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00" w:right="339" w:bottom="1440" w:gutter="0" w:footer="0" w:header="0"/>
        </w:sectPr>
      </w:pPr>
    </w:p>
    <w:bookmarkStart w:id="9" w:name="page10"/>
    <w:bookmarkEnd w:id="9"/>
    <w:p>
      <w:pPr>
        <w:spacing w:after="0" w:line="274" w:lineRule="auto"/>
        <w:rPr>
          <w:sz w:val="20"/>
          <w:szCs w:val="20"/>
          <w:color w:val="auto"/>
        </w:rPr>
      </w:pPr>
      <w:r>
        <w:rPr>
          <w:rFonts w:ascii="Times New Roman" w:cs="Times New Roman" w:eastAsia="Times New Roman" w:hAnsi="Times New Roman"/>
          <w:sz w:val="20"/>
          <w:szCs w:val="20"/>
          <w:color w:val="auto"/>
        </w:rPr>
        <w:t xml:space="preserve">to upgrades on battery packs; Taiwan two-wheeler market; statements relating to the sufficiency of our cash; and statements by Gogoro's chief executive officer and chief financial officer. Gogoro’s expectations and beliefs regarding these matters may not materialize, and actual results in future periods are subject to risks and uncertainties that could cause actual results to differ materially from those projected, including risks related to Gogoro incurring operating losses historically and expecting to incur significant expenses and continuing losses; Gogoro's declining cash position, dependence on a director associated with its largest shareholder to procure equity financing and ability to raise additional funds; future operating and financial results being subject to significant uncertainty; Gogoro not being able execute on its strategy; challenges associated with strategic collaborations or alliances; Gogoro's failure to execute its growth strategy or manage growth effectively; Gogoro's failure to develop new products or technologies; Gogoro's failure to manage its supply chain; delays in launching the production of Gogoro's products and features; Gogoro's exposure to fluctuations in currency exchange rates; Gogoro facing strong competition; changes to fuel economy standards or the success of alternative fuels; Gogoro's dependence on the rapid adoption of and demand for ePTWs and battery swapping services; rapid technological change in the ePTW market; the timely release of new products by Gogoro; Gogoro's ability to protect its technology and intellectual property; risks related to maintaining and expanding Gogoro's international operations; macroeconomic factors including inflation and consumer confidence; and risks related to the Taiwan scooter market.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2025, which was filed on March 31, 2026 and in its subsequent filings with the SEC, copies of which are available on the SEC's website at </w:t>
      </w:r>
      <w:r>
        <w:rPr>
          <w:rFonts w:ascii="Times New Roman" w:cs="Times New Roman" w:eastAsia="Times New Roman" w:hAnsi="Times New Roman"/>
          <w:sz w:val="20"/>
          <w:szCs w:val="20"/>
          <w:color w:val="0000FF"/>
        </w:rPr>
        <w:t>www.sec.gov</w:t>
      </w:r>
      <w:r>
        <w:rPr>
          <w:rFonts w:ascii="Times New Roman" w:cs="Times New Roman" w:eastAsia="Times New Roman" w:hAnsi="Times New Roman"/>
          <w:sz w:val="20"/>
          <w:szCs w:val="20"/>
          <w:color w:val="auto"/>
        </w:rPr>
        <w:t>. The forward-looking statements in this communication are based on information available to Gogoro as of the date hereof, and Gogoro disclaims any obligation to update any forward-looking statements, except as required by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23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and the years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2026 will be included in the Company's Annual Report on Form 20-F for the year ending December 31, 2026. Accordingly, these condensed consolidated financial statements should be read in conjunction with the audited consolidated financial statements and related notes for the year ended December 31, 2025 included in the Company’s Annual Report on Form 20-F filed with the SEC on March 31, 2026,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102"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33"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non-IFRS financial measures including foreign exchange effect on operating revenues, non-IFRS gross profit, non-IFRS gross margin, non-IFRS net loss, EBITDA and adjusted EBITDA.</w:t>
      </w:r>
    </w:p>
    <w:p>
      <w:pPr>
        <w:spacing w:after="0" w:line="18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Foreign exchange ("FX") effect on operating revenues. </w:t>
      </w:r>
      <w:r>
        <w:rPr>
          <w:rFonts w:ascii="Times New Roman" w:cs="Times New Roman" w:eastAsia="Times New Roman" w:hAnsi="Times New Roman"/>
          <w:sz w:val="20"/>
          <w:szCs w:val="20"/>
          <w:color w:val="auto"/>
        </w:rPr>
        <w:t>We compare the dollar amount and the percent change in the operating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197" w:lineRule="exact"/>
        <w:rPr>
          <w:sz w:val="20"/>
          <w:szCs w:val="20"/>
          <w:color w:val="auto"/>
        </w:rPr>
      </w:pPr>
    </w:p>
    <w:p>
      <w:pPr>
        <w:ind w:right="580"/>
        <w:spacing w:after="0" w:line="315" w:lineRule="auto"/>
        <w:rPr>
          <w:sz w:val="20"/>
          <w:szCs w:val="20"/>
          <w:color w:val="auto"/>
        </w:rPr>
      </w:pPr>
      <w:r>
        <w:rPr>
          <w:rFonts w:ascii="Times New Roman" w:cs="Times New Roman" w:eastAsia="Times New Roman" w:hAnsi="Times New Roman"/>
          <w:sz w:val="20"/>
          <w:szCs w:val="20"/>
          <w:b w:val="1"/>
          <w:bCs w:val="1"/>
          <w:color w:val="auto"/>
        </w:rPr>
        <w:t xml:space="preserve">Non-IFRS Gross Profit and Gross Margin. </w:t>
      </w:r>
      <w:r>
        <w:rPr>
          <w:rFonts w:ascii="Times New Roman" w:cs="Times New Roman" w:eastAsia="Times New Roman" w:hAnsi="Times New Roman"/>
          <w:sz w:val="20"/>
          <w:szCs w:val="20"/>
          <w:color w:val="auto"/>
        </w:rPr>
        <w:t>Gogoro defines non-IFRS gross profit and gross margin as gross profit and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share-based compensation and battery upgrade initiatives.</w:t>
      </w:r>
    </w:p>
    <w:p>
      <w:pPr>
        <w:spacing w:after="0" w:line="1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Share-based Compensation. </w:t>
      </w:r>
      <w:r>
        <w:rPr>
          <w:rFonts w:ascii="Times New Roman" w:cs="Times New Roman" w:eastAsia="Times New Roman" w:hAnsi="Times New Roman"/>
          <w:sz w:val="20"/>
          <w:szCs w:val="20"/>
          <w:color w:val="auto"/>
        </w:rPr>
        <w:t>Share-based compensation consists of non-cash charges related to the fair value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for investors to understand the specific impact of share-based compensation on our operating results.</w:t>
      </w:r>
    </w:p>
    <w:p>
      <w:pPr>
        <w:spacing w:after="0" w:line="148"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Non-IFRS Net Loss. </w:t>
      </w:r>
      <w:r>
        <w:rPr>
          <w:rFonts w:ascii="Times New Roman" w:cs="Times New Roman" w:eastAsia="Times New Roman" w:hAnsi="Times New Roman"/>
          <w:sz w:val="20"/>
          <w:szCs w:val="20"/>
          <w:color w:val="auto"/>
        </w:rPr>
        <w:t>Gogoro defines non-IFRS net loss as net loss excluding share-based compensation, the change in fair value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and battery upgrade initiatives. These amounts do not reflect the impact of any related tax effects.</w:t>
      </w:r>
    </w:p>
    <w:p>
      <w:pPr>
        <w:spacing w:after="0" w:line="193" w:lineRule="exact"/>
        <w:rPr>
          <w:sz w:val="20"/>
          <w:szCs w:val="20"/>
          <w:color w:val="auto"/>
        </w:rPr>
      </w:pPr>
    </w:p>
    <w:p>
      <w:pPr>
        <w:ind w:right="88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(if any), depreciation,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amortization. These amounts do not reflect the impact of any related tax effects.</w:t>
      </w:r>
    </w:p>
    <w:p>
      <w:pPr>
        <w:spacing w:after="0" w:line="193" w:lineRule="exact"/>
        <w:rPr>
          <w:sz w:val="20"/>
          <w:szCs w:val="20"/>
          <w:color w:val="auto"/>
        </w:rPr>
      </w:pPr>
    </w:p>
    <w:p>
      <w:pPr>
        <w:ind w:right="68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Gogoro defines Adjusted EBITDA as EBITDA excluding share-based compensation, the change in fair value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liabilities and battery upgrade initiatives. These amounts do not reflect the impact of any related tax effects.</w:t>
      </w:r>
    </w:p>
    <w:p>
      <w:pPr>
        <w:spacing w:after="0" w:line="17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Change in Fair Value of Financial Liabilities. </w:t>
      </w:r>
      <w:r>
        <w:rPr>
          <w:rFonts w:ascii="Times New Roman" w:cs="Times New Roman" w:eastAsia="Times New Roman" w:hAnsi="Times New Roman"/>
          <w:sz w:val="20"/>
          <w:szCs w:val="20"/>
          <w:color w:val="auto"/>
        </w:rPr>
        <w:t>These are non-cash mark-to-market adjustments associated with earnout shares, earn-in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and warrants associated with the de-SPAC in 2022. We exclude these items for purposes of calculating certain non-IFRS measures because these are driven primarily by changes in market valuation assumptions and the Company's share price rather than our underlying operating performance. We believe that this exclusion enhances the comparability of our period-to-period operating results with those of our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00" w:right="339" w:bottom="1440" w:gutter="0" w:footer="0" w:header="0"/>
        </w:sectPr>
      </w:pPr>
    </w:p>
    <w:bookmarkStart w:id="11" w:name="page12"/>
    <w:bookmarkEnd w:id="11"/>
    <w:p>
      <w:pPr>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Battery Upgrade Initiatives. </w:t>
      </w:r>
      <w:r>
        <w:rPr>
          <w:rFonts w:ascii="Times New Roman" w:cs="Times New Roman" w:eastAsia="Times New Roman" w:hAnsi="Times New Roman"/>
          <w:sz w:val="20"/>
          <w:szCs w:val="20"/>
          <w:color w:val="auto"/>
        </w:rPr>
        <w:t>As we performed certain voluntary upgrades to our battery packs, this charge represented the (i) derecognition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on components removed from the battery pack, which we did not expect to generate any future benefits from its disposal and (ii) battery pack retrieval and other directly attributable costs incurred during the battery upgrades. We only upgraded battery packs in instances where the value created exceeds the cost of the upgrade. The program improves batteries' capacity and extends the remaining useful life of certain battery packs. The derecognition expense and the retrieval and other costs were recorded under Cost of Revenues in the Condensed Consolidated Statements of Comprehensive Loss. We exclude such expenditures for purposes of calculating certain non-IFRS measures because these charges do not reflect how management evaluates our operating performance and may not be indicative of our core business operating results. The adjustments facilitate a useful evaluation of our operating performance and comparisons to past operating results and provide investors with additional means to evaluate our profitability trends.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interest expense, depreciation and amortization, change in fair value of financial liabilities and battery upgrade initiatives.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0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160"/>
          </w:cols>
          <w:pgMar w:left="320" w:top="1098" w:right="419" w:bottom="1440" w:gutter="0" w:footer="0" w:header="0"/>
        </w:sect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540" w:space="720"/>
            <w:col w:w="4900"/>
          </w:cols>
          <w:pgMar w:left="320" w:top="1098"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666666"/>
        </w:rPr>
        <w:t>press@gogoro.com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ir@gogoro.com</w:t>
      </w:r>
    </w:p>
    <w:p>
      <w:pPr>
        <w:spacing w:after="0" w:line="200" w:lineRule="exact"/>
        <w:rPr>
          <w:sz w:val="20"/>
          <w:szCs w:val="20"/>
          <w:color w:val="auto"/>
        </w:rPr>
      </w:pPr>
    </w:p>
    <w:p>
      <w:pPr>
        <w:sectPr>
          <w:pgSz w:w="11900" w:h="16838" w:orient="portrait"/>
          <w:cols w:equalWidth="0" w:num="2">
            <w:col w:w="5540" w:space="720"/>
            <w:col w:w="4900"/>
          </w:cols>
          <w:pgMar w:left="320" w:top="109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60"/>
          </w:cols>
          <w:pgMar w:left="320" w:top="1098" w:right="419" w:bottom="1440" w:gutter="0" w:footer="0" w:header="0"/>
          <w:type w:val="continuous"/>
        </w:sectPr>
      </w:pPr>
    </w:p>
    <w:bookmarkStart w:id="12" w:name="page13"/>
    <w:bookmarkEnd w:id="12"/>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ectPr>
          <w:pgSz w:w="11900" w:h="16838" w:orient="portrait"/>
          <w:cols w:equalWidth="0" w:num="1">
            <w:col w:w="11240"/>
          </w:cols>
          <w:pgMar w:left="32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Trade receivables</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Inventories </w:t>
      </w:r>
      <w:r>
        <w:rPr>
          <w:rFonts w:ascii="Times New Roman" w:cs="Times New Roman" w:eastAsia="Times New Roman" w:hAnsi="Times New Roman"/>
          <w:sz w:val="18"/>
          <w:szCs w:val="18"/>
          <w:color w:val="auto"/>
          <w:vertAlign w:val="superscript"/>
        </w:rPr>
        <w:t>2</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Other assets, current </w:t>
      </w:r>
      <w:r>
        <w:rPr>
          <w:rFonts w:ascii="Times New Roman" w:cs="Times New Roman" w:eastAsia="Times New Roman" w:hAnsi="Times New Roman"/>
          <w:sz w:val="18"/>
          <w:szCs w:val="18"/>
          <w:color w:val="auto"/>
          <w:vertAlign w:val="superscript"/>
        </w:rPr>
        <w:t>3</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Property, plant and equipment </w:t>
      </w:r>
      <w:r>
        <w:rPr>
          <w:rFonts w:ascii="Times New Roman" w:cs="Times New Roman" w:eastAsia="Times New Roman" w:hAnsi="Times New Roman"/>
          <w:sz w:val="18"/>
          <w:szCs w:val="18"/>
          <w:color w:val="auto"/>
          <w:vertAlign w:val="superscript"/>
        </w:rPr>
        <w:t>2</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Right-of-use assets</w:t>
      </w:r>
    </w:p>
    <w:p>
      <w:pPr>
        <w:spacing w:after="0" w:line="26" w:lineRule="exact"/>
        <w:rPr>
          <w:sz w:val="20"/>
          <w:szCs w:val="20"/>
          <w:color w:val="auto"/>
        </w:rPr>
      </w:pPr>
    </w:p>
    <w:p>
      <w:pPr>
        <w:ind w:left="20" w:right="760"/>
        <w:spacing w:after="0" w:line="332" w:lineRule="auto"/>
        <w:rPr>
          <w:sz w:val="20"/>
          <w:szCs w:val="20"/>
          <w:color w:val="auto"/>
        </w:rPr>
      </w:pPr>
      <w:r>
        <w:rPr>
          <w:rFonts w:ascii="Times New Roman" w:cs="Times New Roman" w:eastAsia="Times New Roman" w:hAnsi="Times New Roman"/>
          <w:sz w:val="14"/>
          <w:szCs w:val="14"/>
          <w:color w:val="auto"/>
        </w:rPr>
        <w:t>Investments accounted for using equity method Other assets, non-current</w:t>
      </w:r>
    </w:p>
    <w:p>
      <w:pPr>
        <w:ind w:left="2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3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64" w:lineRule="exact"/>
        <w:rPr>
          <w:sz w:val="20"/>
          <w:szCs w:val="20"/>
          <w:color w:val="auto"/>
        </w:rPr>
      </w:pPr>
    </w:p>
    <w:tbl>
      <w:tblPr>
        <w:tblLayout w:type="fixed"/>
        <w:tblInd w:w="292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6"/>
                <w:szCs w:val="16"/>
                <w:color w:val="auto"/>
              </w:rPr>
            </w:pPr>
          </w:p>
        </w:tc>
        <w:tc>
          <w:tcPr>
            <w:tcW w:w="16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380" w:type="dxa"/>
            <w:vAlign w:val="bottom"/>
          </w:tcPr>
          <w:p>
            <w:pPr>
              <w:spacing w:after="0"/>
              <w:rPr>
                <w:sz w:val="17"/>
                <w:szCs w:val="17"/>
                <w:color w:val="auto"/>
              </w:rPr>
            </w:pPr>
          </w:p>
        </w:tc>
        <w:tc>
          <w:tcPr>
            <w:tcW w:w="156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564"/>
        </w:trPr>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2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70,574</w:t>
            </w:r>
          </w:p>
        </w:tc>
      </w:tr>
      <w:tr>
        <w:trPr>
          <w:trHeight w:val="203"/>
        </w:trPr>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18,688</w:t>
            </w:r>
          </w:p>
        </w:tc>
      </w:tr>
      <w:tr>
        <w:trPr>
          <w:trHeight w:val="202"/>
        </w:trPr>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28,876</w:t>
            </w:r>
          </w:p>
        </w:tc>
      </w:tr>
      <w:tr>
        <w:trPr>
          <w:trHeight w:val="203"/>
        </w:trPr>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12,762</w:t>
            </w:r>
          </w:p>
        </w:tc>
      </w:tr>
      <w:tr>
        <w:trPr>
          <w:trHeight w:val="37"/>
        </w:trPr>
        <w:tc>
          <w:tcPr>
            <w:tcW w:w="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89"/>
        </w:trPr>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139,590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130,900</w:t>
            </w:r>
          </w:p>
        </w:tc>
      </w:tr>
      <w:tr>
        <w:trPr>
          <w:trHeight w:val="368"/>
        </w:trPr>
        <w:tc>
          <w:tcPr>
            <w:tcW w:w="3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401,274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419,965</w:t>
            </w:r>
          </w:p>
        </w:tc>
      </w:tr>
      <w:tr>
        <w:trPr>
          <w:trHeight w:val="203"/>
        </w:trPr>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26,903</w:t>
            </w:r>
          </w:p>
        </w:tc>
      </w:tr>
      <w:tr>
        <w:trPr>
          <w:trHeight w:val="203"/>
        </w:trPr>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16,379</w:t>
            </w:r>
          </w:p>
        </w:tc>
      </w:tr>
      <w:tr>
        <w:trPr>
          <w:trHeight w:val="203"/>
        </w:trPr>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7,422</w:t>
            </w:r>
          </w:p>
        </w:tc>
      </w:tr>
      <w:tr>
        <w:trPr>
          <w:trHeight w:val="23"/>
        </w:trPr>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9"/>
        </w:trPr>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589,843</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601,569</w:t>
            </w:r>
          </w:p>
        </w:tc>
      </w:tr>
      <w:tr>
        <w:trPr>
          <w:trHeight w:val="27"/>
        </w:trPr>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-1731010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-1473835</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-1216660</wp:posOffset>
            </wp:positionV>
            <wp:extent cx="7132320"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-950595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-685165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-427990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-170815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520" w:space="720"/>
            <w:col w:w="7000"/>
          </w:cols>
          <w:pgMar w:left="320" w:top="100"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current</w:t>
            </w:r>
          </w:p>
        </w:tc>
        <w:tc>
          <w:tcPr>
            <w:tcW w:w="1380" w:type="dxa"/>
            <w:vAlign w:val="bottom"/>
            <w:gridSpan w:val="2"/>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83,361</w:t>
            </w:r>
          </w:p>
        </w:tc>
      </w:tr>
      <w:tr>
        <w:trPr>
          <w:trHeight w:val="195"/>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liabilities at fair value through profit or loss</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1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and trade payables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12,691</w:t>
            </w:r>
          </w:p>
        </w:tc>
      </w:tr>
      <w:tr>
        <w:trPr>
          <w:trHeight w:val="195"/>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 current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9,766</w:t>
            </w:r>
          </w:p>
        </w:tc>
      </w:tr>
      <w:tr>
        <w:trPr>
          <w:trHeight w:val="21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10,025</w:t>
            </w: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Financial liabilities at amortized cost, current </w:t>
            </w:r>
            <w:r>
              <w:rPr>
                <w:rFonts w:ascii="Times New Roman" w:cs="Times New Roman" w:eastAsia="Times New Roman" w:hAnsi="Times New Roman"/>
                <w:sz w:val="18"/>
                <w:szCs w:val="18"/>
                <w:color w:val="auto"/>
                <w:vertAlign w:val="superscript"/>
              </w:rPr>
              <w:t>4</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03"/>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Provisions, current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r>
      <w:tr>
        <w:trPr>
          <w:trHeight w:val="196"/>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30,837</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41,524</w:t>
            </w:r>
          </w:p>
        </w:tc>
      </w:tr>
      <w:tr>
        <w:trPr>
          <w:trHeight w:val="196"/>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175,789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171,937</w:t>
            </w:r>
          </w:p>
        </w:tc>
      </w:tr>
      <w:tr>
        <w:trPr>
          <w:trHeight w:val="189"/>
        </w:trPr>
        <w:tc>
          <w:tcPr>
            <w:tcW w:w="7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non-current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272,792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277,596</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17,283</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Financial liabilities at amortized cost, non-current </w:t>
            </w:r>
            <w:r>
              <w:rPr>
                <w:rFonts w:ascii="Times New Roman" w:cs="Times New Roman" w:eastAsia="Times New Roman" w:hAnsi="Times New Roman"/>
                <w:sz w:val="18"/>
                <w:szCs w:val="18"/>
                <w:color w:val="auto"/>
                <w:vertAlign w:val="superscript"/>
              </w:rPr>
              <w:t>4</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95"/>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Provisions, non-current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w:t>
            </w:r>
          </w:p>
        </w:tc>
      </w:tr>
      <w:tr>
        <w:trPr>
          <w:trHeight w:val="190"/>
        </w:trPr>
        <w:tc>
          <w:tcPr>
            <w:tcW w:w="7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473,302</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493,329</w:t>
            </w:r>
          </w:p>
        </w:tc>
      </w:tr>
      <w:tr>
        <w:trPr>
          <w:trHeight w:val="189"/>
        </w:trPr>
        <w:tc>
          <w:tcPr>
            <w:tcW w:w="7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96"/>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116,541</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108,240</w:t>
            </w:r>
          </w:p>
        </w:tc>
      </w:tr>
      <w:tr>
        <w:trPr>
          <w:trHeight w:val="228"/>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380" w:type="dxa"/>
            <w:vAlign w:val="bottom"/>
            <w:tcBorders>
              <w:bottom w:val="single" w:sz="8" w:color="auto"/>
            </w:tcBorders>
            <w:gridSpan w:val="2"/>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589,843</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601,569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7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160" w:type="dxa"/>
            <w:vAlign w:val="bottom"/>
          </w:tcPr>
          <w:p>
            <w:pPr>
              <w:spacing w:after="0"/>
              <w:rPr>
                <w:sz w:val="17"/>
                <w:szCs w:val="17"/>
                <w:color w:val="auto"/>
              </w:rPr>
            </w:pPr>
          </w:p>
        </w:tc>
        <w:tc>
          <w:tcPr>
            <w:tcW w:w="13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Inventories:</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5"/>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Raw materials</w:t>
            </w:r>
          </w:p>
        </w:tc>
        <w:tc>
          <w:tcPr>
            <w:tcW w:w="1380" w:type="dxa"/>
            <w:vAlign w:val="bottom"/>
            <w:gridSpan w:val="2"/>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r>
      <w:tr>
        <w:trPr>
          <w:trHeight w:val="21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Semi-finished goods</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r>
      <w:tr>
        <w:trPr>
          <w:trHeight w:val="196"/>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Merchandise</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12,661</w:t>
            </w:r>
          </w:p>
        </w:tc>
      </w:tr>
      <w:tr>
        <w:trPr>
          <w:trHeight w:val="228"/>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inventories</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28,211</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2631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22" w:lineRule="exact"/>
        <w:rPr>
          <w:sz w:val="20"/>
          <w:szCs w:val="20"/>
          <w:color w:val="auto"/>
        </w:rPr>
      </w:pPr>
    </w:p>
    <w:p>
      <w:pPr>
        <w:ind w:left="80" w:right="440" w:hanging="72"/>
        <w:spacing w:after="0" w:line="261" w:lineRule="auto"/>
        <w:tabs>
          <w:tab w:leader="none" w:pos="82"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the deployment plan for the next 12 months, the Company classified $25.6 million and $20.0 million of undeployed battery packs and related battery cells in property, plant and equipment as of March 31, 2026 and December 31, 2025, respectively.</w:t>
      </w:r>
    </w:p>
    <w:p>
      <w:pPr>
        <w:ind w:left="100" w:hanging="92"/>
        <w:spacing w:after="0" w:line="196" w:lineRule="auto"/>
        <w:tabs>
          <w:tab w:leader="none" w:pos="1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2026, the Company and Castrol Holdings International Limited ("Castrol") each contributed $2.1 million to Castrol Gogoro Mobility Joint Stock Company ("CGM") pursuant to a</w:t>
      </w:r>
    </w:p>
    <w:p>
      <w:pPr>
        <w:ind w:left="80" w:right="280"/>
        <w:spacing w:after="0" w:line="204" w:lineRule="auto"/>
        <w:rPr>
          <w:sz w:val="20"/>
          <w:szCs w:val="20"/>
          <w:color w:val="auto"/>
        </w:rPr>
      </w:pPr>
      <w:r>
        <w:rPr>
          <w:rFonts w:ascii="Times New Roman" w:cs="Times New Roman" w:eastAsia="Times New Roman" w:hAnsi="Times New Roman"/>
          <w:sz w:val="14"/>
          <w:szCs w:val="14"/>
          <w:color w:val="auto"/>
        </w:rPr>
        <w:t>shareholder loan agreement. Since the principal portion of the loan is convertible into equity of CGM when certain criteria are met, the Company classified the loan as financial assets at fair value through profit or loss in accordance with IFRS 9.</w:t>
      </w:r>
    </w:p>
    <w:p>
      <w:pPr>
        <w:spacing w:after="0" w:line="1" w:lineRule="exact"/>
        <w:rPr>
          <w:sz w:val="20"/>
          <w:szCs w:val="20"/>
          <w:color w:val="auto"/>
        </w:rPr>
      </w:pPr>
    </w:p>
    <w:p>
      <w:pPr>
        <w:ind w:left="80" w:right="80" w:hanging="72"/>
        <w:spacing w:after="0" w:line="208" w:lineRule="auto"/>
        <w:tabs>
          <w:tab w:leader="none" w:pos="82"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March 31, 2026, the $15.0 million put options previously classified under non-current financial liabilities at amortized cost was reclassified to current financial liabilities, as the Company does not have an unconditional right to defer settlement for at least 12 months after the reporting date.</w:t>
      </w:r>
    </w:p>
    <w:p>
      <w:pPr>
        <w:sectPr>
          <w:pgSz w:w="11900" w:h="16838" w:orient="portrait"/>
          <w:cols w:equalWidth="0" w:num="1">
            <w:col w:w="1124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00"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 except net loss per share)</w:t>
      </w:r>
    </w:p>
    <w:p>
      <w:pPr>
        <w:spacing w:after="0" w:line="30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28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62,914</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63,621</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60,515</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2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3,106</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7,378</w:t>
            </w:r>
          </w:p>
        </w:tc>
        <w:tc>
          <w:tcPr>
            <w:tcW w:w="0" w:type="dxa"/>
            <w:vAlign w:val="bottom"/>
          </w:tcPr>
          <w:p>
            <w:pPr>
              <w:spacing w:after="0"/>
              <w:rPr>
                <w:sz w:val="1"/>
                <w:szCs w:val="1"/>
                <w:color w:val="auto"/>
              </w:rPr>
            </w:pPr>
          </w:p>
        </w:tc>
      </w:tr>
      <w:tr>
        <w:trPr>
          <w:trHeight w:val="195"/>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6,663</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17,717</w:t>
            </w:r>
          </w:p>
        </w:tc>
        <w:tc>
          <w:tcPr>
            <w:tcW w:w="2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20,214</w:t>
            </w: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(17,108)</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Non-operating income and expenses:</w:t>
            </w:r>
          </w:p>
        </w:tc>
        <w:tc>
          <w:tcPr>
            <w:tcW w:w="1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195"/>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1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non-operating expense</w:t>
            </w:r>
          </w:p>
        </w:tc>
        <w:tc>
          <w:tcPr>
            <w:tcW w:w="1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2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(18,562)</w:t>
            </w:r>
          </w:p>
        </w:tc>
        <w:tc>
          <w:tcPr>
            <w:tcW w:w="0" w:type="dxa"/>
            <w:vAlign w:val="bottom"/>
          </w:tcPr>
          <w:p>
            <w:pPr>
              <w:spacing w:after="0"/>
              <w:rPr>
                <w:sz w:val="1"/>
                <w:szCs w:val="1"/>
                <w:color w:val="auto"/>
              </w:rPr>
            </w:pPr>
          </w:p>
        </w:tc>
      </w:tr>
      <w:tr>
        <w:trPr>
          <w:trHeight w:val="175"/>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1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22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loss</w:t>
            </w:r>
          </w:p>
        </w:tc>
        <w:tc>
          <w:tcPr>
            <w:tcW w:w="128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(8,625)</w:t>
            </w:r>
          </w:p>
        </w:tc>
        <w:tc>
          <w:tcPr>
            <w:tcW w:w="220" w:type="dxa"/>
            <w:vAlign w:val="bottom"/>
          </w:tcPr>
          <w:p>
            <w:pPr>
              <w:spacing w:after="0"/>
              <w:rPr>
                <w:sz w:val="17"/>
                <w:szCs w:val="17"/>
                <w:color w:val="auto"/>
              </w:rPr>
            </w:pPr>
          </w:p>
        </w:tc>
        <w:tc>
          <w:tcPr>
            <w:tcW w:w="126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(20,665)</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Basic and diluted net loss per share </w:t>
            </w:r>
            <w:r>
              <w:rPr>
                <w:rFonts w:ascii="Times New Roman" w:cs="Times New Roman" w:eastAsia="Times New Roman" w:hAnsi="Times New Roman"/>
                <w:sz w:val="18"/>
                <w:szCs w:val="18"/>
                <w:color w:val="auto"/>
                <w:vertAlign w:val="superscript"/>
              </w:rPr>
              <w:t>5</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20" w:type="dxa"/>
            <w:vAlign w:val="bottom"/>
          </w:tcPr>
          <w:p>
            <w:pPr>
              <w:spacing w:after="0"/>
              <w:rPr>
                <w:sz w:val="18"/>
                <w:szCs w:val="18"/>
                <w:color w:val="auto"/>
              </w:rPr>
            </w:pPr>
          </w:p>
        </w:tc>
        <w:tc>
          <w:tcPr>
            <w:tcW w:w="126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Shares used in computing basic and diluted net loss per share </w:t>
            </w:r>
            <w:r>
              <w:rPr>
                <w:rFonts w:ascii="Times New Roman" w:cs="Times New Roman" w:eastAsia="Times New Roman" w:hAnsi="Times New Roman"/>
                <w:sz w:val="18"/>
                <w:szCs w:val="18"/>
                <w:color w:val="auto"/>
                <w:vertAlign w:val="superscript"/>
              </w:rPr>
              <w:t>5</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15,892</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14,387</w:t>
            </w:r>
          </w:p>
        </w:tc>
        <w:tc>
          <w:tcPr>
            <w:tcW w:w="0" w:type="dxa"/>
            <w:vAlign w:val="bottom"/>
          </w:tcPr>
          <w:p>
            <w:pPr>
              <w:spacing w:after="0"/>
              <w:rPr>
                <w:sz w:val="1"/>
                <w:szCs w:val="1"/>
                <w:color w:val="auto"/>
              </w:rPr>
            </w:pPr>
          </w:p>
        </w:tc>
      </w:tr>
      <w:tr>
        <w:trPr>
          <w:trHeight w:val="328"/>
        </w:trPr>
        <w:tc>
          <w:tcPr>
            <w:tcW w:w="6760" w:type="dxa"/>
            <w:vAlign w:val="bottom"/>
          </w:tcPr>
          <w:p>
            <w:pPr>
              <w:spacing w:after="0"/>
              <w:rPr>
                <w:sz w:val="24"/>
                <w:szCs w:val="24"/>
                <w:color w:val="auto"/>
              </w:rPr>
            </w:pPr>
          </w:p>
        </w:tc>
        <w:tc>
          <w:tcPr>
            <w:tcW w:w="34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128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26,306</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29,148</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Battery swapping service</w:t>
            </w: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36,608</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34,473</w:t>
            </w:r>
          </w:p>
        </w:tc>
        <w:tc>
          <w:tcPr>
            <w:tcW w:w="0" w:type="dxa"/>
            <w:vAlign w:val="bottom"/>
          </w:tcPr>
          <w:p>
            <w:pPr>
              <w:spacing w:after="0"/>
              <w:rPr>
                <w:sz w:val="1"/>
                <w:szCs w:val="1"/>
                <w:color w:val="auto"/>
              </w:rPr>
            </w:pPr>
          </w:p>
        </w:tc>
      </w:tr>
      <w:tr>
        <w:trPr>
          <w:trHeight w:val="22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62,914</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63,621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60" w:type="dxa"/>
            <w:vAlign w:val="bottom"/>
          </w:tcPr>
          <w:p>
            <w:pPr>
              <w:spacing w:after="0"/>
              <w:rPr>
                <w:sz w:val="23"/>
                <w:szCs w:val="23"/>
                <w:color w:val="auto"/>
              </w:rPr>
            </w:pPr>
          </w:p>
        </w:tc>
        <w:tc>
          <w:tcPr>
            <w:tcW w:w="3400" w:type="dxa"/>
            <w:vAlign w:val="bottom"/>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128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5"/>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22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263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22" w:lineRule="exact"/>
        <w:rPr>
          <w:sz w:val="20"/>
          <w:szCs w:val="20"/>
          <w:color w:val="auto"/>
        </w:rPr>
      </w:pPr>
    </w:p>
    <w:p>
      <w:pPr>
        <w:ind w:left="80" w:right="240" w:hanging="72"/>
        <w:spacing w:after="0" w:line="204" w:lineRule="auto"/>
        <w:tabs>
          <w:tab w:leader="none" w:pos="82"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October 6, 2025, the Company effected a 1-for-20 share consolidation (reverse stock split) of its ordinary shares. The shares used in computing basic and diluted net loss per share for the three months March 31, 2025 have been retrospectively adjusted in accordance with IAS 33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50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69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18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0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220" w:type="dxa"/>
            <w:vAlign w:val="bottom"/>
          </w:tcPr>
          <w:p>
            <w:pPr>
              <w:spacing w:after="0"/>
              <w:rPr>
                <w:sz w:val="16"/>
                <w:szCs w:val="16"/>
                <w:color w:val="auto"/>
              </w:rPr>
            </w:pPr>
          </w:p>
        </w:tc>
        <w:tc>
          <w:tcPr>
            <w:tcW w:w="130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(18,562)</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20,861</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22,285</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Recognition of inventory write-down</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losses recognized (reversal) associated with facilities and receivables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 and right-of-use assets, net</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Recognition of provisions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receivables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and trade payables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(9,400)</w:t>
            </w:r>
          </w:p>
        </w:tc>
      </w:tr>
      <w:tr>
        <w:trPr>
          <w:trHeight w:val="196"/>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generated from (used in) operations</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r>
      <w:tr>
        <w:trPr>
          <w:trHeight w:val="196"/>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paid, net</w:t>
            </w: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w:t>
            </w:r>
          </w:p>
        </w:tc>
      </w:tr>
      <w:tr>
        <w:trPr>
          <w:trHeight w:val="20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generated from (used in) operating activities</w:t>
            </w: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2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(8,894)</w:t>
            </w:r>
          </w:p>
        </w:tc>
      </w:tr>
      <w:tr>
        <w:trPr>
          <w:trHeight w:val="17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9"/>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property, plant and equipment, net</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(17,873)</w:t>
            </w: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(increase) in refundable deposits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intangible assets, net</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Shareholder loan advanced to joint venture </w:t>
            </w:r>
            <w:r>
              <w:rPr>
                <w:rFonts w:ascii="Times New Roman" w:cs="Times New Roman" w:eastAsia="Times New Roman" w:hAnsi="Times New Roman"/>
                <w:sz w:val="18"/>
                <w:szCs w:val="18"/>
                <w:color w:val="auto"/>
                <w:vertAlign w:val="superscript"/>
              </w:rPr>
              <w:t>6</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Decrease in other financial assets</w:t>
            </w: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2,695</w:t>
            </w:r>
          </w:p>
        </w:tc>
      </w:tr>
      <w:tr>
        <w:trPr>
          <w:trHeight w:val="190"/>
        </w:trPr>
        <w:tc>
          <w:tcPr>
            <w:tcW w:w="6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(15,309)</w:t>
            </w:r>
          </w:p>
        </w:tc>
      </w:tr>
      <w:tr>
        <w:trPr>
          <w:trHeight w:val="18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22,664</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r>
      <w:tr>
        <w:trPr>
          <w:trHeight w:val="210"/>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(23,606)</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r>
      <w:tr>
        <w:trPr>
          <w:trHeight w:val="216"/>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Proceeds from issuance of shares </w:t>
            </w:r>
            <w:r>
              <w:rPr>
                <w:rFonts w:ascii="Times New Roman" w:cs="Times New Roman" w:eastAsia="Times New Roman" w:hAnsi="Times New Roman"/>
                <w:sz w:val="18"/>
                <w:szCs w:val="18"/>
                <w:color w:val="auto"/>
                <w:vertAlign w:val="superscript"/>
              </w:rPr>
              <w:t>7</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Guarantee deposits (refund) received</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Repayment of the principal portion of lease liabilities</w:t>
            </w: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203"/>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generated from (used in) financing activities</w:t>
            </w: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2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19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2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w:t>
            </w:r>
          </w:p>
        </w:tc>
      </w:tr>
      <w:tr>
        <w:trPr>
          <w:trHeight w:val="20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(23,869)</w:t>
            </w:r>
          </w:p>
        </w:tc>
      </w:tr>
      <w:tr>
        <w:trPr>
          <w:trHeight w:val="196"/>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beginning of the year</w:t>
            </w: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70,574</w:t>
            </w:r>
          </w:p>
        </w:tc>
        <w:tc>
          <w:tcPr>
            <w:tcW w:w="2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117,148</w:t>
            </w:r>
          </w:p>
        </w:tc>
      </w:tr>
      <w:tr>
        <w:trPr>
          <w:trHeight w:val="22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the end of the period</w:t>
            </w:r>
          </w:p>
        </w:tc>
        <w:tc>
          <w:tcPr>
            <w:tcW w:w="130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263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22" w:lineRule="exact"/>
        <w:rPr>
          <w:sz w:val="20"/>
          <w:szCs w:val="20"/>
          <w:color w:val="auto"/>
        </w:rPr>
      </w:pPr>
    </w:p>
    <w:p>
      <w:pPr>
        <w:ind w:left="80" w:right="240" w:hanging="72"/>
        <w:spacing w:after="0" w:line="212" w:lineRule="auto"/>
        <w:tabs>
          <w:tab w:leader="none" w:pos="82"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2026, the Company and Castrol each contributed $2.1 million to CGM pursuant to a shareholder loan agreement. Since the principal portion of the loan is convertible into equity of CGM when certain criteria are met, the Company classified the loan as financial assets at fair value through profit or loss in accordance with IFRS 9.</w:t>
      </w:r>
    </w:p>
    <w:p>
      <w:pPr>
        <w:ind w:left="100" w:hanging="92"/>
        <w:spacing w:after="0" w:line="224" w:lineRule="auto"/>
        <w:tabs>
          <w:tab w:leader="none" w:pos="1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2026, the Company issued 5,300,000 new ordinary shares to its largest shareholder, Gold Sino Assets Limited, for approximately $16.7 million.</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89"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3"/>
                <w:szCs w:val="13"/>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Capital Surplus</w:t>
            </w:r>
          </w:p>
        </w:tc>
        <w:tc>
          <w:tcPr>
            <w:tcW w:w="14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Exchange Difference on</w:t>
            </w:r>
          </w:p>
        </w:tc>
        <w:tc>
          <w:tcPr>
            <w:tcW w:w="160" w:type="dxa"/>
            <w:vAlign w:val="bottom"/>
          </w:tcPr>
          <w:p>
            <w:pPr>
              <w:spacing w:after="0"/>
              <w:rPr>
                <w:sz w:val="13"/>
                <w:szCs w:val="13"/>
                <w:color w:val="auto"/>
              </w:rPr>
            </w:pPr>
          </w:p>
        </w:tc>
        <w:tc>
          <w:tcPr>
            <w:tcW w:w="10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Deficits</w:t>
            </w:r>
          </w:p>
        </w:tc>
        <w:tc>
          <w:tcPr>
            <w:tcW w:w="140" w:type="dxa"/>
            <w:vAlign w:val="bottom"/>
          </w:tcPr>
          <w:p>
            <w:pPr>
              <w:spacing w:after="0"/>
              <w:rPr>
                <w:sz w:val="17"/>
                <w:szCs w:val="17"/>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737,537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(628,701)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108,240</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for the three months ended March 31, 2026</w:t>
            </w:r>
          </w:p>
        </w:tc>
        <w:tc>
          <w:tcPr>
            <w:tcW w:w="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(7,884)</w:t>
            </w:r>
          </w:p>
        </w:tc>
        <w:tc>
          <w:tcPr>
            <w:tcW w:w="0" w:type="dxa"/>
            <w:vAlign w:val="bottom"/>
          </w:tcPr>
          <w:p>
            <w:pPr>
              <w:spacing w:after="0"/>
              <w:rPr>
                <w:sz w:val="1"/>
                <w:szCs w:val="1"/>
                <w:color w:val="auto"/>
              </w:rPr>
            </w:pPr>
          </w:p>
        </w:tc>
      </w:tr>
      <w:tr>
        <w:trPr>
          <w:trHeight w:val="142"/>
        </w:trPr>
        <w:tc>
          <w:tcPr>
            <w:tcW w:w="386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Other comprehensive loss for the three months ended March 31,</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8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60" w:type="dxa"/>
            <w:vAlign w:val="bottom"/>
          </w:tcPr>
          <w:p>
            <w:pPr>
              <w:ind w:left="120"/>
              <w:spacing w:after="0" w:line="135" w:lineRule="exact"/>
              <w:rPr>
                <w:sz w:val="20"/>
                <w:szCs w:val="20"/>
                <w:color w:val="auto"/>
              </w:rPr>
            </w:pPr>
            <w:r>
              <w:rPr>
                <w:rFonts w:ascii="Times New Roman" w:cs="Times New Roman" w:eastAsia="Times New Roman" w:hAnsi="Times New Roman"/>
                <w:sz w:val="14"/>
                <w:szCs w:val="14"/>
                <w:color w:val="auto"/>
              </w:rPr>
              <w:t>Changes in percentage of ownership interest in investments</w:t>
            </w:r>
          </w:p>
        </w:tc>
        <w:tc>
          <w:tcPr>
            <w:tcW w:w="80" w:type="dxa"/>
            <w:vAlign w:val="bottom"/>
          </w:tcPr>
          <w:p>
            <w:pPr>
              <w:spacing w:after="0"/>
              <w:rPr>
                <w:sz w:val="11"/>
                <w:szCs w:val="11"/>
                <w:color w:val="auto"/>
              </w:rPr>
            </w:pPr>
          </w:p>
        </w:tc>
        <w:tc>
          <w:tcPr>
            <w:tcW w:w="12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84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820" w:type="dxa"/>
            <w:vAlign w:val="bottom"/>
            <w:gridSpan w:val="2"/>
          </w:tcPr>
          <w:p>
            <w:pPr>
              <w:ind w:left="1500"/>
              <w:spacing w:after="0" w:line="13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accounted for using equity method</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Issuance of ordinary shares </w:t>
            </w:r>
            <w:r>
              <w:rPr>
                <w:rFonts w:ascii="Times New Roman" w:cs="Times New Roman" w:eastAsia="Times New Roman" w:hAnsi="Times New Roman"/>
                <w:sz w:val="18"/>
                <w:szCs w:val="18"/>
                <w:color w:val="auto"/>
                <w:vertAlign w:val="superscript"/>
              </w:rPr>
              <w:t>7</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0" w:type="dxa"/>
            <w:vAlign w:val="bottom"/>
          </w:tcPr>
          <w:p>
            <w:pPr>
              <w:spacing w:after="0"/>
              <w:rPr>
                <w:sz w:val="1"/>
                <w:szCs w:val="1"/>
                <w:color w:val="auto"/>
              </w:rPr>
            </w:pPr>
          </w:p>
        </w:tc>
      </w:tr>
      <w:tr>
        <w:trPr>
          <w:trHeight w:val="196"/>
        </w:trPr>
        <w:tc>
          <w:tcPr>
            <w:tcW w:w="3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820" w:type="dxa"/>
            <w:vAlign w:val="bottom"/>
            <w:gridSpan w:val="2"/>
          </w:tcPr>
          <w:p>
            <w:pPr>
              <w:ind w:left="15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21"/>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116,541</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00"/>
          </w:cols>
          <w:pgMar w:left="360" w:top="1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IFRS Financial Metrics to Non-IFRS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IFRS revenue YoY</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 excluding</w:t>
            </w: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24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52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FX effect YoY</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23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26,306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29,148</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36,608</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35,200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34,473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 w:type="dxa"/>
            <w:vAlign w:val="bottom"/>
          </w:tcPr>
          <w:p>
            <w:pPr>
              <w:spacing w:after="0"/>
              <w:rPr>
                <w:sz w:val="19"/>
                <w:szCs w:val="19"/>
                <w:color w:val="auto"/>
              </w:rPr>
            </w:pPr>
          </w:p>
        </w:tc>
        <w:tc>
          <w:tcPr>
            <w:tcW w:w="2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62,914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63,621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8"/>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and gross margin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Non-IFRS gross profit and gross margin</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12,877</w:t>
            </w:r>
          </w:p>
        </w:tc>
        <w:tc>
          <w:tcPr>
            <w:tcW w:w="3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6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18.2 %</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2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80" w:type="dxa"/>
            <w:vAlign w:val="bottom"/>
            <w:gridSpan w:val="8"/>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(7,884)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(18,562)</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248</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196"/>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8,347</w:t>
            </w:r>
          </w:p>
        </w:tc>
        <w:tc>
          <w:tcPr>
            <w:tcW w:w="0" w:type="dxa"/>
            <w:vAlign w:val="bottom"/>
          </w:tcPr>
          <w:p>
            <w:pPr>
              <w:spacing w:after="0"/>
              <w:rPr>
                <w:sz w:val="1"/>
                <w:szCs w:val="1"/>
                <w:color w:val="auto"/>
              </w:rPr>
            </w:pPr>
          </w:p>
        </w:tc>
      </w:tr>
      <w:tr>
        <w:trPr>
          <w:trHeight w:val="221"/>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Non-IFRS net loss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(7,688)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(10,915)</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8"/>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(7,884)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(18,562)</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3,104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20,861</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22,285</w:t>
            </w: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16,081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6,673</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95"/>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8,347</w:t>
            </w:r>
          </w:p>
        </w:tc>
        <w:tc>
          <w:tcPr>
            <w:tcW w:w="0" w:type="dxa"/>
            <w:vAlign w:val="bottom"/>
          </w:tcPr>
          <w:p>
            <w:pPr>
              <w:spacing w:after="0"/>
              <w:rPr>
                <w:sz w:val="1"/>
                <w:szCs w:val="1"/>
                <w:color w:val="auto"/>
              </w:rPr>
            </w:pPr>
          </w:p>
        </w:tc>
      </w:tr>
      <w:tr>
        <w:trPr>
          <w:trHeight w:val="19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16,277</w:t>
            </w:r>
          </w:p>
        </w:tc>
        <w:tc>
          <w:tcPr>
            <w:tcW w:w="16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14,320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sectPr>
      <w:pgSz w:w="11900" w:h="16838" w:orient="portrait"/>
      <w:cols w:equalWidth="0" w:num="1">
        <w:col w:w="11160"/>
      </w:cols>
      <w:pgMar w:left="360" w:top="100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6"/>
      <w:numFmt w:val="bullet"/>
      <w:start w:val="1"/>
    </w:lvl>
  </w:abstractNum>
  <w:abstractNum w:abstractNumId="11">
    <w:nsid w:val="66EF438D"/>
    <w:multiLevelType w:val="hybridMultilevel"/>
    <w:lvl w:ilvl="0">
      <w:lvlJc w:val="left"/>
      <w:lvlText w:val="7"/>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2026-05-21T05:42:02Z</dcterms:created>
  <dcterms:modified xsi:type="dcterms:W3CDTF">2026-05-21T05:42:02Z</dcterms:modified>
</cp:coreProperties>
</file>