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lineRule="auto" w:line="240"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36"/>
        </w:rPr>
      </w:pPr>
      <w:r>
        <w:rPr>
          <w:rFonts w:ascii="Times New Roman;sans-serif" w:hAnsi="Times New Roman;sans-serif"/>
          <w:b/>
          <w:color w:val="000000"/>
          <w:sz w:val="36"/>
        </w:rPr>
        <w:t>FORM 6-K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Report of Foreign Private Issuer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Pursuant to Rule 13a-16 or 15d-16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under the Securities Exchange Act of 1934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For the month of February 2024</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001-41327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48"/>
        </w:rPr>
      </w:pPr>
      <w:r>
        <w:rPr>
          <w:rFonts w:ascii="Times New Roman;sans-serif" w:hAnsi="Times New Roman;sans-serif"/>
          <w:b/>
          <w:color w:val="000000"/>
          <w:sz w:val="48"/>
        </w:rPr>
        <w:t xml:space="preserve">GOGORO INC.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11F, Building C,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 225, Section 2, Chang’an E. Rd.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SongShan District, Taipei City 105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Taiwan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left"/>
        <w:rPr/>
      </w:pPr>
      <w:r>
        <w:rPr>
          <w:rFonts w:ascii="Times New Roman;sans-serif" w:hAnsi="Times New Roman;sans-serif"/>
          <w:b w:val="false"/>
          <w:color w:val="000000"/>
          <w:sz w:val="20"/>
        </w:rPr>
        <w:t>Indicate by check mark whether the registrant files or will file annual reports under cover of Form 20-F or Form 40-F. Form 20-F  </w:t>
      </w:r>
      <w:r>
        <w:rPr>
          <w:color w:val="000000"/>
        </w:rPr>
        <w:t>☒    </w:t>
      </w:r>
      <w:r>
        <w:rPr>
          <w:rFonts w:ascii="Times New Roman;sans-serif" w:hAnsi="Times New Roman;sans-serif"/>
          <w:b w:val="false"/>
          <w:color w:val="000000"/>
          <w:sz w:val="20"/>
        </w:rPr>
        <w:t>Form 40-F  </w:t>
      </w:r>
      <w:r>
        <w:rPr>
          <w:color w:val="000000"/>
        </w:rPr>
        <w:t>☐ </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EXPLANATORY NOTE </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7, 2024, Gogoro Inc. issued a press release announcing its financial and operating results for the fourth quarter and full year ended December 31, 2023. A copy of the press release is furnished herewith as Exhibit 99.1 to this Report on Form 6-K and is incorporated by reference herein.</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99.1 to this Form 6-K shall be deemed to be filed with the Securities and Exchange Commission and incorporated by reference into the Company’s registration statement on Form F-3 (File No. 333-264619), and shall be a part thereof, to the extent not superseded by documents or reports subsequently filed or furnished.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EXHIBITS INDEX</w:t>
      </w:r>
    </w:p>
    <w:p>
      <w:pPr>
        <w:pStyle w:val="TextBody"/>
        <w:bidi w:val="0"/>
        <w:spacing w:lineRule="auto" w:line="240" w:before="0" w:after="0"/>
        <w:jc w:val="left"/>
        <w:rPr>
          <w:color w:val="000000"/>
        </w:rPr>
      </w:pPr>
      <w:r>
        <w:rPr>
          <w:color w:val="000000"/>
        </w:rPr>
        <w:t> </w:t>
      </w:r>
    </w:p>
    <w:tbl>
      <w:tblPr>
        <w:tblW w:w="6012"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457"/>
        <w:gridCol w:w="1457"/>
        <w:gridCol w:w="206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3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Title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arningrelease.htm">
              <w:r>
                <w:rPr>
                  <w:rStyle w:val="InternetLink"/>
                  <w:rFonts w:ascii="Times New Roman;sans-serif" w:hAnsi="Times New Roman;sans-serif"/>
                  <w:b w:val="false"/>
                  <w:color w:val="0000FF"/>
                  <w:sz w:val="20"/>
                  <w:u w:val="single"/>
                </w:rPr>
                <w:t>Press release issued by Gogoro Inc., dated February 7, 2024.</w:t>
              </w:r>
            </w:hyperlink>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40" w:before="0" w:after="0"/>
        <w:jc w:val="left"/>
        <w:rPr>
          <w:color w:val="000000"/>
        </w:rPr>
      </w:pPr>
      <w:r>
        <w:rPr>
          <w:color w:val="000000"/>
        </w:rPr>
        <w:t> </w:t>
      </w:r>
    </w:p>
    <w:tbl>
      <w:tblPr>
        <w:tblW w:w="5226"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09"/>
        <w:gridCol w:w="109"/>
        <w:gridCol w:w="109"/>
        <w:gridCol w:w="109"/>
        <w:gridCol w:w="662"/>
        <w:gridCol w:w="662"/>
        <w:gridCol w:w="941"/>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Gogoro Inc.</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Bruce Morrison Aitken</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Morrison Aitken</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pPr>
      <w:r>
        <w:rPr>
          <w:rFonts w:ascii="Times New Roman;sans-serif" w:hAnsi="Times New Roman;sans-serif"/>
          <w:b/>
          <w:color w:val="000000"/>
          <w:sz w:val="30"/>
          <w:shd w:fill="FEFFFF" w:val="clear"/>
        </w:rPr>
        <w:t xml:space="preserve">Gogoro Releases Fourth Quarter and Full Year </w:t>
      </w:r>
      <w:r>
        <w:rPr>
          <w:rFonts w:ascii="Times New Roman;sans-serif" w:hAnsi="Times New Roman;sans-serif"/>
          <w:b/>
          <w:color w:val="000000"/>
          <w:sz w:val="30"/>
        </w:rPr>
        <w:t>2023 Financial Results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shd w:fill="FEFFFF" w:val="clear"/>
        </w:rPr>
        <w:t>TAIPEI, Taiwan,</w:t>
      </w:r>
      <w:r>
        <w:rPr>
          <w:color w:val="000000"/>
          <w:shd w:fill="FEFFFF" w:val="clear"/>
        </w:rPr>
        <w:t xml:space="preserve"> </w:t>
      </w:r>
      <w:r>
        <w:rPr>
          <w:rFonts w:ascii="Times New Roman;sans-serif" w:hAnsi="Times New Roman;sans-serif"/>
          <w:b w:val="false"/>
          <w:color w:val="000000"/>
          <w:sz w:val="22"/>
          <w:shd w:fill="FEFFFF" w:val="clear"/>
        </w:rPr>
        <w:t>February</w:t>
      </w:r>
      <w:r>
        <w:rPr>
          <w:color w:val="000000"/>
          <w:shd w:fill="FEFFFF" w:val="clear"/>
        </w:rPr>
        <w:t xml:space="preserve"> </w:t>
      </w:r>
      <w:r>
        <w:rPr>
          <w:rFonts w:ascii="Times New Roman;sans-serif" w:hAnsi="Times New Roman;sans-serif"/>
          <w:b w:val="false"/>
          <w:color w:val="000000"/>
          <w:sz w:val="22"/>
          <w:shd w:fill="FEFFFF" w:val="clear"/>
        </w:rPr>
        <w:t>7</w:t>
      </w:r>
      <w:r>
        <w:rPr>
          <w:rFonts w:ascii="Times New Roman;sans-serif" w:hAnsi="Times New Roman;sans-serif"/>
          <w:b w:val="false"/>
          <w:color w:val="000000"/>
          <w:sz w:val="22"/>
        </w:rPr>
        <w:t>, 2024</w:t>
      </w:r>
      <w:r>
        <w:rPr>
          <w:color w:val="000000"/>
          <w:shd w:fill="FEFFFF" w:val="clear"/>
        </w:rPr>
        <w:t xml:space="preserve"> – </w:t>
      </w:r>
      <w:r>
        <w:rPr>
          <w:rFonts w:ascii="Times New Roman;sans-serif" w:hAnsi="Times New Roman;sans-serif"/>
          <w:b w:val="false"/>
          <w:color w:val="000000"/>
          <w:sz w:val="22"/>
        </w:rPr>
        <w:t>Gogoro Inc. (Nasdaq: GGR), a global technology leader in battery swapping ecosystems that enable sustainable mobility solutions for cities, today released its financial results for its fourth quarter and twelve months ended December 31, 2023.</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Fourth Quarter and Full Year 2023 Summary</w:t>
      </w:r>
    </w:p>
    <w:p>
      <w:pPr>
        <w:pStyle w:val="TextBody"/>
        <w:bidi w:val="0"/>
        <w:spacing w:before="0" w:after="0"/>
        <w:jc w:val="left"/>
        <w:rPr/>
      </w:pPr>
      <w:r>
        <w:rPr/>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Fourth quarter revenue of $91.5 million, down 4.1% year-over-year and down 2.8% on a constant currency basis; Full year revenue of $349.8 million, down 8.6% year-over-year and down 4.6% on a constant currency basis</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Fourth quarter battery swapping service revenue of $32.5 million, up 3.7% year-over-year and up 6.0% on a constant currency basis; Full year battery swapping service revenue of $131.8 million, up 8.3% year-over-year and up 13.3% on a constant currency basis</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Fourth quarter gross margin of 11.0%, down from 15.0% in the same quarter last year. Non-IFRS gross margin of 14.2%, down 3.0% year-over-year; Full year gross margin of 14.4%, down from 15.1% last year. Non-IFRS gross margin of 15.8%, down 1.0% year-over-year</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 xml:space="preserve">Fourth quarter net loss of $27.5 million as compared to a net loss of $12.5 million in the same quarter last year; Full year net loss of $76.9 million as compared to a net loss of $98.9 million last year </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 xml:space="preserve">Fourth quarter adjusted EBITDA of $8.2 million, down from $9.2 million in the same quarter last year; Full year adjusted EBITDA of $44.8 million, up $3.6 million from $41.2 million last year. </w:t>
      </w:r>
    </w:p>
    <w:p>
      <w:pPr>
        <w:pStyle w:val="TextBody"/>
        <w:bidi w:val="0"/>
        <w:spacing w:lineRule="auto" w:line="316" w:before="0" w:after="0"/>
        <w:ind w:left="0" w:right="0" w:firstLine="7"/>
        <w:jc w:val="left"/>
        <w:rPr>
          <w:color w:val="000000"/>
        </w:rPr>
      </w:pPr>
      <w:r>
        <w:rPr>
          <w:color w:val="000000"/>
        </w:rPr>
        <w:t>“</w:t>
      </w:r>
      <w:r>
        <w:rPr>
          <w:rFonts w:ascii="Times New Roman;sans-serif" w:hAnsi="Times New Roman;sans-serif"/>
          <w:b w:val="false"/>
          <w:color w:val="000000"/>
          <w:sz w:val="22"/>
        </w:rPr>
        <w:t>In 2023, we continued to focus on accelerating the transition to electric two-wheelers in Asia, with a focus on our home market of Taiwan, where we expanded our retail channels, added third-party Gogoro Quick Service Centers and strengthened our B2B business. As we continue our international expansion, India will be a priority. We have now established our local manufacturing and launched our battery swapping services and first India-made Smartscooter in Delhi,” said Horace Luke, chairman, founder, and CEO of Gogoro. “In 2024, we are introducing new Smartscooters for Taiwan and international markets including a new cutting-edge mass market vehicle and our new high-performance flagship vehicle, the Gogoro Pulse. Last week we also announced a new partnership with Copec Energy in Latin America, where we will be launching in Chile and Colombia in the second quarter of 2024.”</w:t>
      </w:r>
    </w:p>
    <w:p>
      <w:pPr>
        <w:pStyle w:val="TextBody"/>
        <w:bidi w:val="0"/>
        <w:spacing w:before="0" w:after="0"/>
        <w:jc w:val="left"/>
        <w:rPr/>
      </w:pPr>
      <w:r>
        <w:rPr/>
      </w:r>
    </w:p>
    <w:p>
      <w:pPr>
        <w:pStyle w:val="TextBody"/>
        <w:bidi w:val="0"/>
        <w:spacing w:lineRule="auto" w:line="316"/>
        <w:ind w:left="0" w:right="0" w:firstLine="7"/>
        <w:jc w:val="left"/>
        <w:rPr>
          <w:color w:val="000000"/>
        </w:rPr>
      </w:pPr>
      <w:r>
        <w:rPr>
          <w:color w:val="000000"/>
        </w:rPr>
        <w:t>“</w:t>
      </w:r>
      <w:r>
        <w:rPr>
          <w:rFonts w:ascii="Times New Roman;sans-serif" w:hAnsi="Times New Roman;sans-serif"/>
          <w:b w:val="false"/>
          <w:color w:val="000000"/>
          <w:sz w:val="22"/>
        </w:rPr>
        <w:t xml:space="preserve">We have been focusing on long-term customer satisfaction, market leadership, revenue growth, and cost-control. We will continue to make investments where we see opportunities and in 2024 we are focusing on executing our manufacturing, sales, network, and organizational growth in India. With significant new global vehicle introductions and the addition of new international markets, we are expecting healthy growth across a number of key financial indicators in 2024,” said Bruce Aitken, CFO of Gogoro. “In late 2022, we implemented a company-wide cost transformation initiative designed to maximize cost </w:t>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efficiencies across our entire organization and we saw the benefits of that effort in 2023 in reductions in operating expense and improvements in operating cash flow. In 2024, we will continue to actively manage expenses.” </w:t>
      </w:r>
    </w:p>
    <w:p>
      <w:pPr>
        <w:pStyle w:val="TextBody"/>
        <w:bidi w:val="0"/>
        <w:spacing w:before="0" w:after="0"/>
        <w:ind w:left="0" w:right="0" w:firstLine="7"/>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Fourth Quarter and Full Year 2023 Financial Overview</w:t>
      </w:r>
    </w:p>
    <w:p>
      <w:pPr>
        <w:pStyle w:val="TextBody"/>
        <w:bidi w:val="0"/>
        <w:spacing w:before="0" w:after="0"/>
        <w:jc w:val="left"/>
        <w:rPr/>
      </w:pPr>
      <w:r>
        <w:rPr/>
      </w:r>
    </w:p>
    <w:p>
      <w:pPr>
        <w:pStyle w:val="TextBody"/>
        <w:bidi w:val="0"/>
        <w:spacing w:lineRule="auto" w:line="268" w:before="0" w:after="200"/>
        <w:jc w:val="left"/>
        <w:rPr/>
      </w:pPr>
      <w:r>
        <w:rPr>
          <w:rFonts w:ascii="Times New Roman;sans-serif" w:hAnsi="Times New Roman;sans-serif"/>
          <w:b/>
          <w:color w:val="000000"/>
          <w:sz w:val="22"/>
        </w:rPr>
        <w:t>Operating Revenues</w:t>
      </w:r>
      <w:r>
        <w:rPr>
          <w:color w:val="000000"/>
        </w:rPr>
        <w:t xml:space="preserve"> </w:t>
      </w:r>
    </w:p>
    <w:p>
      <w:pPr>
        <w:pStyle w:val="TextBody"/>
        <w:bidi w:val="0"/>
        <w:spacing w:lineRule="auto" w:line="316" w:before="0" w:after="0"/>
        <w:jc w:val="left"/>
        <w:rPr/>
      </w:pPr>
      <w:r>
        <w:rPr>
          <w:rFonts w:ascii="Times New Roman;sans-serif" w:hAnsi="Times New Roman;sans-serif"/>
          <w:b w:val="false"/>
          <w:color w:val="000000"/>
          <w:sz w:val="22"/>
        </w:rPr>
        <w:t>For the fourth quarter, the total revenue was $91.5 million, down 4.1% year-over-year and down 2.8% year-over-year on a constant currency basis</w:t>
      </w:r>
      <w:r>
        <w:rPr>
          <w:rFonts w:ascii="Times New Roman;sans-serif" w:hAnsi="Times New Roman;sans-serif"/>
          <w:b w:val="false"/>
          <w:color w:val="000000"/>
          <w:sz w:val="14"/>
        </w:rPr>
        <w:t>1</w:t>
      </w:r>
      <w:r>
        <w:rPr>
          <w:rFonts w:ascii="Times New Roman;sans-serif" w:hAnsi="Times New Roman;sans-serif"/>
          <w:b w:val="false"/>
          <w:color w:val="000000"/>
          <w:sz w:val="22"/>
        </w:rPr>
        <w:t xml:space="preserve">. Had foreign exchange rates remained constant with the average rate of the same quarter last year, revenue would have been up by an additional $1.3 million. </w:t>
      </w:r>
    </w:p>
    <w:p>
      <w:pPr>
        <w:pStyle w:val="TextBody"/>
        <w:bidi w:val="0"/>
        <w:spacing w:before="0" w:after="0"/>
        <w:ind w:left="0" w:right="0" w:firstLine="720"/>
        <w:jc w:val="left"/>
        <w:rPr/>
      </w:pPr>
      <w:r>
        <w:rPr/>
      </w:r>
    </w:p>
    <w:p>
      <w:pPr>
        <w:pStyle w:val="TextBody"/>
        <w:bidi w:val="0"/>
        <w:spacing w:lineRule="auto" w:line="316" w:before="0" w:after="0"/>
        <w:ind w:left="0" w:right="0" w:hanging="360"/>
        <w:jc w:val="left"/>
        <w:rPr/>
      </w:pPr>
      <w:r>
        <w:rPr>
          <w:color w:val="000000"/>
        </w:rPr>
        <w:t>▪</w:t>
      </w:r>
      <w:r>
        <w:rPr>
          <w:rFonts w:ascii="Times New Roman;sans-serif" w:hAnsi="Times New Roman;sans-serif"/>
          <w:b w:val="false"/>
          <w:color w:val="000000"/>
          <w:sz w:val="22"/>
        </w:rPr>
        <w:t>Sales of hardware and other revenues for the quarter were $59.0 million, down 7.9% year-over-year, and down 7.1% year-over-year on a constant currency basis</w:t>
      </w:r>
      <w:r>
        <w:rPr>
          <w:rFonts w:ascii="Times New Roman;sans-serif" w:hAnsi="Times New Roman;sans-serif"/>
          <w:b w:val="false"/>
          <w:color w:val="000000"/>
          <w:sz w:val="14"/>
        </w:rPr>
        <w:t>1</w:t>
      </w:r>
      <w:r>
        <w:rPr>
          <w:rFonts w:ascii="Times New Roman;sans-serif" w:hAnsi="Times New Roman;sans-serif"/>
          <w:b w:val="false"/>
          <w:color w:val="000000"/>
          <w:sz w:val="22"/>
        </w:rPr>
        <w:t xml:space="preserve">. Both electric powered two-wheelers ("PTW") and Powered by Gogoro Network ("PBGN") markets were impacted by the continued deep discounts on ICE vehicles offered by Taiwan scooter manufacturers as well as the increased purchases of ICE vehicles as a last call effect given the discontinuation of certain government subsidies for scooter purchases. While we lowered prices (average selling price ("ASP") reduced by 9.3% in fourth quarter of 2023 compared to </w:t>
      </w:r>
      <w:r>
        <w:rPr>
          <w:rFonts w:ascii="Times New Roman;sans-serif" w:hAnsi="Times New Roman;sans-serif"/>
          <w:b w:val="false"/>
          <w:color w:val="000000"/>
          <w:sz w:val="24"/>
        </w:rPr>
        <w:t>that in the same quarter of</w:t>
      </w:r>
      <w:r>
        <w:rPr>
          <w:color w:val="000000"/>
        </w:rPr>
        <w:t xml:space="preserve"> </w:t>
      </w:r>
      <w:r>
        <w:rPr>
          <w:rFonts w:ascii="Times New Roman;sans-serif" w:hAnsi="Times New Roman;sans-serif"/>
          <w:b w:val="false"/>
          <w:color w:val="000000"/>
          <w:sz w:val="22"/>
        </w:rPr>
        <w:t xml:space="preserve">2022), we refrained from matching the deep discounts provided by ICE OEMs as we believe that it is not in the best interest of our long-term growth strategy. Compared to the same quarter last year, sales of total electric PTW vehicles were down 13.4% while Gogoro's branded vehicles were down 6.5%. </w:t>
      </w:r>
    </w:p>
    <w:p>
      <w:pPr>
        <w:pStyle w:val="TextBody"/>
        <w:bidi w:val="0"/>
        <w:spacing w:before="0" w:after="0"/>
        <w:jc w:val="left"/>
        <w:rPr/>
      </w:pPr>
      <w:r>
        <w:rPr/>
      </w:r>
    </w:p>
    <w:p>
      <w:pPr>
        <w:pStyle w:val="TextBody"/>
        <w:bidi w:val="0"/>
        <w:spacing w:lineRule="auto" w:line="316" w:before="0" w:after="0"/>
        <w:ind w:left="0" w:right="0" w:hanging="360"/>
        <w:jc w:val="left"/>
        <w:rPr/>
      </w:pPr>
      <w:r>
        <w:rPr>
          <w:color w:val="000000"/>
        </w:rPr>
        <w:t>▪</w:t>
      </w:r>
      <w:r>
        <w:rPr>
          <w:rFonts w:ascii="Times New Roman;sans-serif" w:hAnsi="Times New Roman;sans-serif"/>
          <w:b w:val="false"/>
          <w:color w:val="000000"/>
          <w:sz w:val="22"/>
        </w:rPr>
        <w:t>Battery swapping service revenue for the fourth quarter was $32.5 million, up 3.7% year-over-year, and up 6.0% year-over-year on a constant currency basis</w:t>
      </w:r>
      <w:r>
        <w:rPr>
          <w:rFonts w:ascii="Times New Roman;sans-serif" w:hAnsi="Times New Roman;sans-serif"/>
          <w:b w:val="false"/>
          <w:color w:val="000000"/>
          <w:sz w:val="14"/>
        </w:rPr>
        <w:t>1</w:t>
      </w:r>
      <w:r>
        <w:rPr>
          <w:rFonts w:ascii="Times New Roman;sans-serif" w:hAnsi="Times New Roman;sans-serif"/>
          <w:b w:val="false"/>
          <w:color w:val="000000"/>
          <w:sz w:val="22"/>
        </w:rPr>
        <w:t>. Total subscribers at the end of the fourth quarter exceeded 587,000, up 11.6% from 526,000 subscribers at the end of the same quarter last year. The year-over-year increase in battery swapping service revenue was primarily due to our larger subscriber base compared to the same quarter last year and the high retention rate of our subscribers. We continue to see the strength of our subscription-based business model to accrue more customers to maximize our battery swapping network efficiency.</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val="false"/>
          <w:color w:val="000000"/>
          <w:sz w:val="22"/>
        </w:rPr>
        <w:t>For the full year, the total revenue was $349.8 million, down 8.6% year-over-year and down 4.6% year-over-year on a constant currency basis</w:t>
      </w:r>
      <w:r>
        <w:rPr>
          <w:rFonts w:ascii="Times New Roman;sans-serif" w:hAnsi="Times New Roman;sans-serif"/>
          <w:b w:val="false"/>
          <w:color w:val="000000"/>
          <w:sz w:val="14"/>
        </w:rPr>
        <w:t>1</w:t>
      </w:r>
      <w:r>
        <w:rPr>
          <w:rFonts w:ascii="Times New Roman;sans-serif" w:hAnsi="Times New Roman;sans-serif"/>
          <w:b w:val="false"/>
          <w:color w:val="000000"/>
          <w:sz w:val="22"/>
        </w:rPr>
        <w:t>. Had foreign exchange rates remained constant with average rate in each of the comparable quarters of last year, revenue would have been up by an additional $15.6 million.</w:t>
      </w:r>
    </w:p>
    <w:p>
      <w:pPr>
        <w:pStyle w:val="TextBody"/>
        <w:bidi w:val="0"/>
        <w:spacing w:before="0" w:after="0"/>
        <w:jc w:val="left"/>
        <w:rPr/>
      </w:pPr>
      <w:r>
        <w:rPr/>
      </w:r>
    </w:p>
    <w:p>
      <w:pPr>
        <w:pStyle w:val="TextBody"/>
        <w:bidi w:val="0"/>
        <w:spacing w:lineRule="auto" w:line="316" w:before="0" w:after="0"/>
        <w:ind w:left="0" w:right="0" w:hanging="360"/>
        <w:jc w:val="left"/>
        <w:rPr/>
      </w:pPr>
      <w:r>
        <w:rPr>
          <w:color w:val="000000"/>
        </w:rPr>
        <w:t>▪</w:t>
      </w:r>
      <w:r>
        <w:rPr>
          <w:rFonts w:ascii="Times New Roman;sans-serif" w:hAnsi="Times New Roman;sans-serif"/>
          <w:b w:val="false"/>
          <w:color w:val="000000"/>
          <w:sz w:val="22"/>
        </w:rPr>
        <w:t>Sales of hardware and other revenues for the year were $218.0 million, down 16.5% year-over-year, and down 12.8% year-over-year on a constant currency basis</w:t>
      </w:r>
      <w:r>
        <w:rPr>
          <w:rFonts w:ascii="Times New Roman;sans-serif" w:hAnsi="Times New Roman;sans-serif"/>
          <w:b w:val="false"/>
          <w:color w:val="000000"/>
          <w:sz w:val="14"/>
        </w:rPr>
        <w:t>1</w:t>
      </w:r>
      <w:r>
        <w:rPr>
          <w:rFonts w:ascii="Times New Roman;sans-serif" w:hAnsi="Times New Roman;sans-serif"/>
          <w:b w:val="false"/>
          <w:color w:val="000000"/>
          <w:sz w:val="22"/>
        </w:rPr>
        <w:t xml:space="preserve">. Compared to the last year, sales of total electric PTW vehicles were down 9.0% while Gogoro's branded vehicles were down 12.3%. Local ICE vehicle price competition and overall macroeconomic uncertainty hindered the pace of electrification in the Taiwan PTW market in 2023. </w:t>
      </w:r>
    </w:p>
    <w:p>
      <w:pPr>
        <w:pStyle w:val="TextBody"/>
        <w:bidi w:val="0"/>
        <w:spacing w:before="0" w:after="0"/>
        <w:jc w:val="left"/>
        <w:rPr/>
      </w:pPr>
      <w:r>
        <w:rPr/>
      </w:r>
    </w:p>
    <w:p>
      <w:pPr>
        <w:pStyle w:val="TextBody"/>
        <w:bidi w:val="0"/>
        <w:spacing w:lineRule="auto" w:line="316" w:before="0" w:after="0"/>
        <w:ind w:left="0" w:right="0" w:hanging="360"/>
        <w:jc w:val="left"/>
        <w:rPr/>
      </w:pPr>
      <w:r>
        <w:rPr>
          <w:color w:val="000000"/>
        </w:rPr>
        <w:t>▪</w:t>
      </w:r>
      <w:r>
        <w:rPr>
          <w:rFonts w:ascii="Times New Roman;sans-serif" w:hAnsi="Times New Roman;sans-serif"/>
          <w:b w:val="false"/>
          <w:color w:val="000000"/>
          <w:sz w:val="22"/>
        </w:rPr>
        <w:t>Battery swapping service revenue for the year was $131.8 million, up 8.3% year-over-year, and up 13.3% year-over-year on a constant currency basis</w:t>
      </w:r>
      <w:r>
        <w:rPr>
          <w:rFonts w:ascii="Times New Roman;sans-serif" w:hAnsi="Times New Roman;sans-serif"/>
          <w:b w:val="false"/>
          <w:color w:val="000000"/>
          <w:sz w:val="14"/>
        </w:rPr>
        <w:t>1</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68" w:before="0" w:after="200"/>
        <w:jc w:val="left"/>
        <w:rPr/>
      </w:pPr>
      <w:r>
        <w:rPr>
          <w:rFonts w:ascii="Times New Roman;sans-serif" w:hAnsi="Times New Roman;sans-serif"/>
          <w:b/>
          <w:color w:val="000000"/>
          <w:sz w:val="22"/>
        </w:rPr>
        <w:t>Gross Margin</w:t>
      </w:r>
      <w:r>
        <w:rPr>
          <w:color w:val="000000"/>
        </w:rPr>
        <w:t xml:space="preserve"> </w:t>
      </w:r>
    </w:p>
    <w:p>
      <w:pPr>
        <w:pStyle w:val="TextBody"/>
        <w:bidi w:val="0"/>
        <w:spacing w:lineRule="auto" w:line="316" w:before="0" w:after="0"/>
        <w:jc w:val="left"/>
        <w:rPr/>
      </w:pPr>
      <w:r>
        <w:rPr>
          <w:rFonts w:ascii="Times New Roman;sans-serif" w:hAnsi="Times New Roman;sans-serif"/>
          <w:b w:val="false"/>
          <w:color w:val="000000"/>
          <w:sz w:val="22"/>
        </w:rPr>
        <w:t>For the fourth quarter, gross margin was 11.0%, down from 15.0% in the same quarter last year while non-IFRS gross margin</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was 14.2%, down from 17.2% in the same quarter last year. The decrease in gross margin was driven by a reduction in vehicle prices in the fourth quarter, an ASP reduction resulting from a higher percentage of lower-priced vehicles sold, a higher production cost per vehicle due to lower sales volume, decreased revenues associated with retail discounts and some minor impacts related to our discounting charges for customers adversely impacted by a voluntary and minor vehicle recall and battery upgrade. This unfavorable change was partially offset by the improved cost efficiencies of Gogoro's battery swapping services and improvements in other operational efficiencies.</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full year 2023, gross margin was 14.4%, down from 15.1% last year whereas non-IFRS gross margin was 15.8%, down from 16.8% last year. </w:t>
      </w:r>
    </w:p>
    <w:p>
      <w:pPr>
        <w:pStyle w:val="TextBody"/>
        <w:bidi w:val="0"/>
        <w:spacing w:before="0" w:after="0"/>
        <w:jc w:val="left"/>
        <w:rPr/>
      </w:pPr>
      <w:r>
        <w:rPr/>
      </w:r>
    </w:p>
    <w:p>
      <w:pPr>
        <w:pStyle w:val="TextBody"/>
        <w:bidi w:val="0"/>
        <w:spacing w:lineRule="auto" w:line="268" w:before="0" w:after="200"/>
        <w:jc w:val="left"/>
        <w:rPr/>
      </w:pPr>
      <w:r>
        <w:rPr>
          <w:rFonts w:ascii="Times New Roman;sans-serif" w:hAnsi="Times New Roman;sans-serif"/>
          <w:b/>
          <w:color w:val="000000"/>
          <w:sz w:val="22"/>
        </w:rPr>
        <w:t>Net Loss</w:t>
      </w:r>
      <w:r>
        <w:rPr>
          <w:color w:val="000000"/>
        </w:rPr>
        <w:t xml:space="preserve"> </w:t>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the fourth quarter, net loss was $27.5 million, representing an increase of $15.0 million from a net loss $12.5 million in the same quarter last year. The increase in net loss was primarily due to an unfavorable change of $16.5 million in the fair value of financial liabilities associated with outstanding earnout shares, earn-in shares and warrants compared to last year as a result of the decrease of Gogoro stock price and the decrease of $4.2 million in gross profit which are partially offset by the decrease of $7.0 million in operating expenses.</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full year 2023, net loss was $76.9 million, representing a decrease of $22.0 million from a net loss $98.9 million last year. The decrease in net loss was primarily due to an $218.4 million decrease in operating expenses which was offset by an unfavorable change of $189.8 million in the fair value of financial liabilities and a $7.3 million decrease in gross profit. </w:t>
      </w:r>
    </w:p>
    <w:p>
      <w:pPr>
        <w:pStyle w:val="TextBody"/>
        <w:bidi w:val="0"/>
        <w:spacing w:before="0" w:after="0"/>
        <w:jc w:val="left"/>
        <w:rPr/>
      </w:pPr>
      <w:r>
        <w:rPr/>
      </w:r>
    </w:p>
    <w:p>
      <w:pPr>
        <w:pStyle w:val="TextBody"/>
        <w:bidi w:val="0"/>
        <w:spacing w:lineRule="auto" w:line="319" w:before="0" w:after="200"/>
        <w:jc w:val="left"/>
        <w:rPr>
          <w:rFonts w:ascii="Times New Roman;sans-serif" w:hAnsi="Times New Roman;sans-serif"/>
          <w:b/>
          <w:color w:val="000000"/>
          <w:sz w:val="22"/>
        </w:rPr>
      </w:pPr>
      <w:r>
        <w:rPr>
          <w:rFonts w:ascii="Times New Roman;sans-serif" w:hAnsi="Times New Roman;sans-serif"/>
          <w:b/>
          <w:color w:val="000000"/>
          <w:sz w:val="22"/>
        </w:rPr>
        <w:t>Adjusted EBITDA</w:t>
      </w:r>
    </w:p>
    <w:p>
      <w:pPr>
        <w:pStyle w:val="TextBody"/>
        <w:bidi w:val="0"/>
        <w:spacing w:lineRule="auto" w:line="316" w:before="0" w:after="0"/>
        <w:jc w:val="left"/>
        <w:rPr/>
      </w:pPr>
      <w:r>
        <w:rPr>
          <w:rFonts w:ascii="Times New Roman;sans-serif" w:hAnsi="Times New Roman;sans-serif"/>
          <w:b w:val="false"/>
          <w:color w:val="000000"/>
          <w:sz w:val="22"/>
        </w:rPr>
        <w:t>For the fourth quarter, adjusted EBITDA</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was $8.2 million, representing a decrease of $1.0 million from $9.2 million in the same quarter last year. The decrease was primarily due to a $1.3 million loss on investment under equity method compared to the same quarter last year. The decrease was partially offset by a decrease in operating expenses from various cost-saving initiatives this quarter.</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val="false"/>
          <w:color w:val="000000"/>
          <w:sz w:val="22"/>
        </w:rPr>
        <w:t>For the full year 2023, adjusted EBITDA</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was $44.8 million, representing an increase of $3.6 million from $41.2 million last year. The increase was primarily due to a $9.6 million decrease in operating expenses (excluding share-based compensation, depreciation and amortization, acquisition-related expenses and exit activities) as a result of various cost-saving initiatives. The increase was partially offset by a $5.8 million decrease in gross profit (excluding share-based compensation, depreciation and amortization, battery upgrade initiatives and exit activities) due to lower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ind w:left="0" w:right="0" w:hanging="108"/>
        <w:jc w:val="left"/>
        <w:rPr/>
      </w:pP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16"/>
        </w:rPr>
        <w:t xml:space="preserve">This is a non-IFRS measure, see </w:t>
      </w:r>
      <w:r>
        <w:rPr>
          <w:rFonts w:ascii="Times New Roman;sans-serif" w:hAnsi="Times New Roman;sans-serif"/>
          <w:b/>
          <w:color w:val="000000"/>
          <w:sz w:val="16"/>
        </w:rPr>
        <w:t>Use of Non-IFRS Financial Measures</w:t>
      </w:r>
      <w:r>
        <w:rPr>
          <w:color w:val="000000"/>
        </w:rPr>
        <w:t xml:space="preserve"> </w:t>
      </w:r>
      <w:r>
        <w:rPr>
          <w:rFonts w:ascii="Times New Roman;sans-serif" w:hAnsi="Times New Roman;sans-serif"/>
          <w:b w:val="false"/>
          <w:color w:val="000000"/>
          <w:sz w:val="16"/>
        </w:rPr>
        <w:t xml:space="preserve">for a description of the non-IFRS measures and </w:t>
      </w:r>
      <w:r>
        <w:rPr>
          <w:rFonts w:ascii="Times New Roman;sans-serif" w:hAnsi="Times New Roman;sans-serif"/>
          <w:b/>
          <w:color w:val="000000"/>
          <w:sz w:val="16"/>
        </w:rPr>
        <w:t>Reconciliation of IFRS Financial Metrics to Non-IFRS</w:t>
      </w:r>
      <w:r>
        <w:rPr>
          <w:color w:val="000000"/>
        </w:rPr>
        <w:t xml:space="preserve"> </w:t>
      </w:r>
      <w:r>
        <w:rPr>
          <w:rFonts w:ascii="Times New Roman;sans-serif" w:hAnsi="Times New Roman;sans-serif"/>
          <w:b w:val="false"/>
          <w:color w:val="000000"/>
          <w:sz w:val="16"/>
        </w:rPr>
        <w:t>for a reconciliation of the Company’s non-IFRS financial measures to their most directly comparable IFRS measures.</w:t>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Liquidity</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generated $59.8 million of operating cash inflow in 2023 compared to 2022 where we used $64.8 million of cash in operations. With a $173.9 million cash balance at the end of 2023 and the additional credit facilities that are available to us, we believe we have sufficient sources of funding to meet our near-term business growth objectives.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2024 Guidance</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the full year 2024. we expect to generate revenue of $385 million to $420 million. We estimate that approximately 90% of such full-year revenue will be generated from the Taiwan market and 10% from international markets.</w:t>
      </w:r>
    </w:p>
    <w:p>
      <w:pPr>
        <w:pStyle w:val="TextBody"/>
        <w:bidi w:val="0"/>
        <w:spacing w:before="0" w:after="0"/>
        <w:jc w:val="left"/>
        <w:rPr/>
      </w:pPr>
      <w:r>
        <w:rPr/>
      </w:r>
    </w:p>
    <w:p>
      <w:pPr>
        <w:pStyle w:val="TextBody"/>
        <w:bidi w:val="0"/>
        <w:spacing w:lineRule="auto" w:line="240" w:before="2" w:after="1"/>
        <w:jc w:val="left"/>
        <w:rPr>
          <w:rFonts w:ascii="Times New Roman;sans-serif" w:hAnsi="Times New Roman;sans-serif"/>
          <w:b/>
          <w:color w:val="000000"/>
          <w:sz w:val="22"/>
          <w:shd w:fill="FEFFFF" w:val="clear"/>
        </w:rPr>
      </w:pPr>
      <w:r>
        <w:rPr>
          <w:rFonts w:ascii="Times New Roman;sans-serif" w:hAnsi="Times New Roman;sans-serif"/>
          <w:b/>
          <w:color w:val="000000"/>
          <w:sz w:val="22"/>
          <w:shd w:fill="FEFFFF" w:val="clear"/>
        </w:rPr>
        <w:t>Conference Call Information</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Gogoro's management team will hold an earnings Webcast on February 7th, 2024, at 7:00 a.m. Eastern Time to discuss the Company's fourth quarter and full year 2023 results of operations and outlook.</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val="false"/>
          <w:color w:val="000000"/>
          <w:sz w:val="22"/>
        </w:rPr>
        <w:t>Investors may access the webcast, supplemental financial information and investor presentation at Gogoro’s investor relations websit</w:t>
      </w:r>
      <w:r>
        <w:rPr>
          <w:rFonts w:ascii="Times New Roman;sans-serif" w:hAnsi="Times New Roman;sans-serif"/>
          <w:b w:val="false"/>
          <w:color w:val="000000"/>
          <w:sz w:val="22"/>
          <w:shd w:fill="FFFFFF" w:val="clear"/>
        </w:rPr>
        <w:t>e</w:t>
      </w:r>
      <w:r>
        <w:rPr>
          <w:color w:val="0000FF"/>
          <w:shd w:fill="FFFFFF" w:val="clear"/>
        </w:rPr>
        <w:t xml:space="preserve"> </w:t>
      </w:r>
      <w:r>
        <w:rPr>
          <w:rFonts w:ascii="Times New Roman;sans-serif" w:hAnsi="Times New Roman;sans-serif"/>
          <w:b w:val="false"/>
          <w:color w:val="0000FF"/>
          <w:sz w:val="22"/>
          <w:shd w:fill="FFFFFF" w:val="clear"/>
        </w:rPr>
        <w:t>(https://investor.gogoro.com)</w:t>
      </w:r>
      <w:r>
        <w:rPr>
          <w:color w:val="000000"/>
        </w:rPr>
        <w:t xml:space="preserve"> </w:t>
      </w:r>
      <w:r>
        <w:rPr>
          <w:rFonts w:ascii="Times New Roman;sans-serif" w:hAnsi="Times New Roman;sans-serif"/>
          <w:b w:val="false"/>
          <w:color w:val="000000"/>
          <w:sz w:val="22"/>
        </w:rPr>
        <w:t>under the “Events” section. A replay of the investor presentation and the earnings call script will be available 24 hours after the conclusion of the webcast and archived for one year.</w:t>
      </w:r>
    </w:p>
    <w:p>
      <w:pPr>
        <w:pStyle w:val="TextBody"/>
        <w:bidi w:val="0"/>
        <w:spacing w:before="1" w:after="1"/>
        <w:jc w:val="left"/>
        <w:rPr/>
      </w:pPr>
      <w:r>
        <w:rPr/>
      </w:r>
    </w:p>
    <w:p>
      <w:pPr>
        <w:pStyle w:val="TextBody"/>
        <w:bidi w:val="0"/>
        <w:spacing w:lineRule="auto" w:line="240" w:before="2" w:after="1"/>
        <w:jc w:val="left"/>
        <w:rPr>
          <w:rFonts w:ascii="Times New Roman;sans-serif" w:hAnsi="Times New Roman;sans-serif"/>
          <w:b/>
          <w:color w:val="000000"/>
          <w:sz w:val="22"/>
          <w:shd w:fill="FEFFFF" w:val="clear"/>
        </w:rPr>
      </w:pPr>
      <w:r>
        <w:rPr>
          <w:rFonts w:ascii="Times New Roman;sans-serif" w:hAnsi="Times New Roman;sans-serif"/>
          <w:b/>
          <w:color w:val="000000"/>
          <w:sz w:val="22"/>
          <w:shd w:fill="FEFFFF" w:val="clear"/>
        </w:rPr>
        <w:t>About Gogoro</w:t>
      </w:r>
    </w:p>
    <w:p>
      <w:pPr>
        <w:pStyle w:val="TextBody"/>
        <w:bidi w:val="0"/>
        <w:spacing w:before="2" w:after="1"/>
        <w:jc w:val="left"/>
        <w:rPr/>
      </w:pPr>
      <w:r>
        <w:rPr/>
      </w:r>
    </w:p>
    <w:p>
      <w:pPr>
        <w:pStyle w:val="TextBody"/>
        <w:bidi w:val="0"/>
        <w:spacing w:lineRule="auto" w:line="316" w:before="0" w:after="0"/>
        <w:jc w:val="left"/>
        <w:rPr/>
      </w:pPr>
      <w:r>
        <w:rPr>
          <w:rFonts w:ascii="Times New Roman;sans-serif" w:hAnsi="Times New Roman;sans-serif"/>
          <w:b w:val="false"/>
          <w:color w:val="000000"/>
          <w:sz w:val="22"/>
          <w:shd w:fill="FFFFFF" w:val="clear"/>
        </w:rPr>
        <w:t xml:space="preserve">Founded in 2011 to rethink urban energy and inspire the world to move through cities in smarter and more sustainable ways, Gogoro leverages the power of innovation to change the way urban energy is distributed and consumed. Recognized and awarded by Frost &amp; Sullivan as the “2023 Global Company of the Year for battery swapping for electric two-wheel vehicles” </w:t>
      </w:r>
      <w:r>
        <w:rPr>
          <w:rFonts w:ascii="Times New Roman;sans-serif" w:hAnsi="Times New Roman;sans-serif"/>
          <w:b w:val="false"/>
          <w:color w:val="222222"/>
          <w:sz w:val="22"/>
          <w:shd w:fill="FFFFFF" w:val="clear"/>
        </w:rPr>
        <w:t>and MIT Technology Review as one of “15 Climate Tech Companies to Watch” in 2023</w:t>
      </w:r>
      <w:r>
        <w:rPr>
          <w:rFonts w:ascii="Times New Roman;sans-serif" w:hAnsi="Times New Roman;sans-serif"/>
          <w:b w:val="false"/>
          <w:color w:val="222222"/>
          <w:sz w:val="22"/>
        </w:rPr>
        <w:t xml:space="preserve">, </w:t>
      </w:r>
      <w:r>
        <w:rPr>
          <w:rFonts w:ascii="Times New Roman;sans-serif" w:hAnsi="Times New Roman;sans-serif"/>
          <w:b w:val="false"/>
          <w:color w:val="000000"/>
          <w:sz w:val="22"/>
          <w:shd w:fill="FFFFFF" w:val="clear"/>
        </w:rPr>
        <w:t>Gogoro’s battery swapping and vehicle platforms offer a smart, proven, and 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availability and safety. The challenge is massive, but the opportunity to disrupt the status quo, establish new standards, and achieve new levels of sustainable transportation growth in densely populated cities is even greater. For more information, visit</w:t>
      </w:r>
      <w:r>
        <w:rPr>
          <w:color w:val="0000FF"/>
          <w:shd w:fill="FFFFFF" w:val="clear"/>
        </w:rPr>
        <w:t xml:space="preserve"> </w:t>
      </w:r>
      <w:r>
        <w:rPr>
          <w:rFonts w:ascii="Times New Roman;sans-serif" w:hAnsi="Times New Roman;sans-serif"/>
          <w:b w:val="false"/>
          <w:color w:val="0000FF"/>
          <w:sz w:val="22"/>
          <w:shd w:fill="FFFFFF" w:val="clear"/>
        </w:rPr>
        <w:t>https://www.gogoro.com/news</w:t>
      </w:r>
      <w:r>
        <w:rPr>
          <w:color w:val="000000"/>
          <w:shd w:fill="FFFFFF" w:val="clear"/>
        </w:rPr>
        <w:t xml:space="preserve"> </w:t>
      </w:r>
      <w:r>
        <w:rPr>
          <w:rFonts w:ascii="Times New Roman;sans-serif" w:hAnsi="Times New Roman;sans-serif"/>
          <w:b w:val="false"/>
          <w:color w:val="000000"/>
          <w:sz w:val="22"/>
          <w:shd w:fill="FFFFFF" w:val="clear"/>
        </w:rPr>
        <w:t xml:space="preserve">and follow Gogoro on Twitter: </w:t>
      </w:r>
      <w:r>
        <w:rPr>
          <w:rFonts w:ascii="Times New Roman;sans-serif" w:hAnsi="Times New Roman;sans-serif"/>
          <w:b w:val="false"/>
          <w:color w:val="0000FF"/>
          <w:sz w:val="22"/>
          <w:shd w:fill="FFFFFF" w:val="clear"/>
        </w:rPr>
        <w:t>@wearegogoro</w:t>
      </w:r>
      <w:r>
        <w:rPr>
          <w:rFonts w:ascii="Times New Roman;sans-serif" w:hAnsi="Times New Roman;sans-serif"/>
          <w:b w:val="false"/>
          <w:color w:val="000000"/>
          <w:sz w:val="22"/>
          <w:shd w:fill="FFFFFF" w:val="clear"/>
        </w:rPr>
        <w:t>.</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2"/>
          <w:shd w:fill="FEFFFF" w:val="clear"/>
        </w:rPr>
      </w:pPr>
      <w:r>
        <w:rPr>
          <w:rFonts w:ascii="Times New Roman;sans-serif" w:hAnsi="Times New Roman;sans-serif"/>
          <w:b/>
          <w:color w:val="000000"/>
          <w:sz w:val="22"/>
          <w:shd w:fill="FEFFFF" w:val="clear"/>
        </w:rPr>
        <w:t>Forward-Looking Statements</w:t>
      </w:r>
    </w:p>
    <w:p>
      <w:pPr>
        <w:pStyle w:val="TextBody"/>
        <w:bidi w:val="0"/>
        <w:spacing w:before="0" w:after="0"/>
        <w:jc w:val="left"/>
        <w:rPr/>
      </w:pPr>
      <w:r>
        <w:rPr/>
      </w:r>
    </w:p>
    <w:p>
      <w:pPr>
        <w:pStyle w:val="TextBody"/>
        <w:bidi w:val="0"/>
        <w:spacing w:lineRule="auto" w:line="316"/>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w:t>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16" w:before="0" w:after="0"/>
        <w:jc w:val="left"/>
        <w:rPr/>
      </w:pPr>
      <w:r>
        <w:rPr>
          <w:rFonts w:ascii="Times New Roman;sans-serif" w:hAnsi="Times New Roman;sans-serif"/>
          <w:b w:val="false"/>
          <w:color w:val="000000"/>
          <w:sz w:val="22"/>
        </w:rPr>
        <w:t xml:space="preserve">limited to, statements in the section entitled, "2024 Guidance," such as estimates regarding revenue and Gogoro's revenue generated from the Taiwan market, and statements by Gogoro's founder, chairman, and chief executive officer and Gogoro's chief financial officer, such as projections of market opportunity and market share, the strategic cooperation and investments in India and the Philippines, the capability of Gogoro’s technology, and Gogoro’s business plans including its plans to grow and expand in Taiwan and internationally, pricing strategies, </w:t>
      </w:r>
      <w:r>
        <w:rPr>
          <w:rFonts w:ascii="Times New Roman;sans-serif" w:hAnsi="Times New Roman;sans-serif"/>
          <w:b w:val="false"/>
          <w:color w:val="000000"/>
          <w:sz w:val="24"/>
        </w:rPr>
        <w:t xml:space="preserve">cost control measures and </w:t>
      </w:r>
      <w:r>
        <w:rPr>
          <w:rFonts w:ascii="Times New Roman;sans-serif" w:hAnsi="Times New Roman;sans-serif"/>
          <w:b w:val="false"/>
          <w:color w:val="000000"/>
          <w:sz w:val="22"/>
        </w:rPr>
        <w:t>expectation regarding the expansion of product portfolio.</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val="false"/>
          <w:color w:val="000000"/>
          <w:sz w:val="22"/>
        </w:rPr>
        <w:t xml:space="preserve">Gogoro’s expectations and beliefs regarding these matters may not materialize, and actual results in future periods are subject to risks and uncertainties that could cause actual results to differ materially from those projected, including risks related to the impact of the COVID-19 pandemic,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w:t>
      </w:r>
      <w:r>
        <w:rPr>
          <w:rFonts w:ascii="Times New Roman;sans-serif" w:hAnsi="Times New Roman;sans-serif"/>
          <w:b w:val="false"/>
          <w:color w:val="000000"/>
          <w:sz w:val="24"/>
        </w:rPr>
        <w:t xml:space="preserve">risks related to probable defects of Gogoro’s products and services and product recalls, </w:t>
      </w:r>
      <w:r>
        <w:rPr>
          <w:rFonts w:ascii="Times New Roman;sans-serif" w:hAnsi="Times New Roman;sans-serif"/>
          <w:b w:val="false"/>
          <w:color w:val="000000"/>
          <w:sz w:val="22"/>
        </w:rPr>
        <w:t>risks related to operating in the PRC, regulatory risks and Gogoro’s risks related to strategic collaborations, risks related to the Taiwan market, China market, India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update the accounting treatment for its joint ventures. The forward looking statements contained in this communication are also subject to other risks and uncertainties, including those more fully described in Gogoro's filings with the Securities and Exchange Commission (“SEC”), including in Gogoro’s Form 20-F for the year ended December 31, 2022, which was filed on March 31, 2023 and in its subsequent filings with the SEC, copies of which are available on the SEC's website a</w:t>
      </w:r>
      <w:r>
        <w:rPr>
          <w:rFonts w:ascii="Times New Roman;sans-serif" w:hAnsi="Times New Roman;sans-serif"/>
          <w:b w:val="false"/>
          <w:color w:val="000000"/>
          <w:sz w:val="22"/>
          <w:shd w:fill="FFFFFF" w:val="clear"/>
        </w:rPr>
        <w:t>t</w:t>
      </w:r>
      <w:r>
        <w:rPr>
          <w:color w:val="0000FF"/>
          <w:shd w:fill="FFFFFF" w:val="clear"/>
        </w:rPr>
        <w:t xml:space="preserve"> </w:t>
      </w:r>
      <w:r>
        <w:rPr>
          <w:rFonts w:ascii="Times New Roman;sans-serif" w:hAnsi="Times New Roman;sans-serif"/>
          <w:b w:val="false"/>
          <w:color w:val="0000FF"/>
          <w:sz w:val="22"/>
          <w:shd w:fill="FFFFFF" w:val="clear"/>
        </w:rPr>
        <w:t>www.sec.gov</w:t>
      </w:r>
      <w:r>
        <w:rPr>
          <w:rFonts w:ascii="Times New Roman;sans-serif" w:hAnsi="Times New Roman;sans-serif"/>
          <w:b w:val="false"/>
          <w:color w:val="000000"/>
          <w:sz w:val="22"/>
        </w:rPr>
        <w:t>. The forward-looking statements in this communication are based on information available to Gogoro as of the date hereof, and Gogoro disclaims any obligation to update any forward-looking statements, except as required by law.</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color w:val="000000"/>
          <w:sz w:val="22"/>
        </w:rPr>
      </w:pPr>
      <w:r>
        <w:rPr>
          <w:rFonts w:ascii="Times New Roman;sans-serif" w:hAnsi="Times New Roman;sans-serif"/>
          <w:b/>
          <w:color w:val="000000"/>
          <w:sz w:val="22"/>
        </w:rPr>
        <w:t>Condensed Consolidated Financial Statements</w:t>
      </w:r>
    </w:p>
    <w:p>
      <w:pPr>
        <w:pStyle w:val="TextBody"/>
        <w:bidi w:val="0"/>
        <w:spacing w:before="0" w:after="0"/>
        <w:jc w:val="left"/>
        <w:rPr/>
      </w:pPr>
      <w:r>
        <w:rPr/>
      </w:r>
    </w:p>
    <w:p>
      <w:pPr>
        <w:pStyle w:val="TextBody"/>
        <w:bidi w:val="0"/>
        <w:spacing w:lineRule="auto" w:line="316"/>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condensed consolidated financial statements are unaudited and have been prepared in accordance with the International Financial Reporting Standards (collectively, “IFRS”) issued by the International Accounting Standards Board and regulations of the U.S. Securities and Exchange Commission (“SEC”) for interim financial reporting. The Company’s condensed consolidated financial statements are unaudited, and reflect all normal adjustments that are, in our opinion, necessary to provide a fair statement of results for the interim periods presented, including the accounts of the Company and entities controlled by Gogoro Inc. The audited consolidated financial statements may differ materially from the unaudited condensed consolidated financial statements. Our audited financial statements will be included in the Company's Annual Report on Form 20-F for the year ended December 31, 2023. Accordingly, </w:t>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these condensed consolidated financial statements should be read in conjunction with the audited consolidated financial statements and related notes for the year ended December 31, 2022 included in the Company’s Annual Report on Form 20-F filed with the SEC on March 31, 2023, which provides a more complete discussion of the Company’s accounting policies and certain other information.</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Use of Non-IFRS Financial Measures </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press release and accompanying tables contain certain non-IFRS financial measures including foreign exchange effect on operating revenues, non-IFRS gross profit, non-IFRS gross margin, Non-IFRS Net Loss, EBITDA and Adjusted EBITDA. </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 xml:space="preserve">Foreign exchange ("FX") effect on operating revenues. </w:t>
      </w:r>
      <w:r>
        <w:rPr>
          <w:rFonts w:ascii="Times New Roman;sans-serif" w:hAnsi="Times New Roman;sans-serif"/>
          <w:b w:val="false"/>
          <w:color w:val="000000"/>
          <w:sz w:val="22"/>
        </w:rPr>
        <w:t xml:space="preserve">We compare the dollar amount and the percent change in the operating revenues from the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 </w:t>
      </w:r>
    </w:p>
    <w:p>
      <w:pPr>
        <w:pStyle w:val="TextBody"/>
        <w:bidi w:val="0"/>
        <w:spacing w:before="0" w:after="0"/>
        <w:ind w:left="0" w:right="0" w:hanging="90"/>
        <w:jc w:val="left"/>
        <w:rPr/>
      </w:pPr>
      <w:r>
        <w:rPr/>
      </w:r>
    </w:p>
    <w:p>
      <w:pPr>
        <w:pStyle w:val="TextBody"/>
        <w:bidi w:val="0"/>
        <w:spacing w:lineRule="auto" w:line="316" w:before="0" w:after="0"/>
        <w:jc w:val="left"/>
        <w:rPr/>
      </w:pPr>
      <w:r>
        <w:rPr>
          <w:rFonts w:ascii="Times New Roman;sans-serif" w:hAnsi="Times New Roman;sans-serif"/>
          <w:b/>
          <w:color w:val="000000"/>
          <w:sz w:val="22"/>
        </w:rPr>
        <w:t>Non-IFRS</w:t>
      </w:r>
      <w:r>
        <w:rPr>
          <w:color w:val="000000"/>
        </w:rPr>
        <w:t xml:space="preserve"> </w:t>
      </w:r>
      <w:r>
        <w:rPr>
          <w:rFonts w:ascii="Times New Roman;sans-serif" w:hAnsi="Times New Roman;sans-serif"/>
          <w:b/>
          <w:color w:val="000000"/>
          <w:sz w:val="22"/>
        </w:rPr>
        <w:t xml:space="preserve">Gross Profit and Gross Margin. </w:t>
      </w:r>
      <w:r>
        <w:rPr>
          <w:rFonts w:ascii="Times New Roman;sans-serif" w:hAnsi="Times New Roman;sans-serif"/>
          <w:b w:val="false"/>
          <w:color w:val="000000"/>
          <w:sz w:val="22"/>
        </w:rPr>
        <w:t xml:space="preserve">Gogoro defines non-IFRS gross profit and gross margin as gross profit, gross margin excluding share-based compensation, and exit activities. </w:t>
      </w:r>
    </w:p>
    <w:p>
      <w:pPr>
        <w:pStyle w:val="TextBody"/>
        <w:bidi w:val="0"/>
        <w:spacing w:before="0" w:after="0"/>
        <w:jc w:val="left"/>
        <w:rPr/>
      </w:pPr>
      <w:r>
        <w:rPr/>
      </w:r>
    </w:p>
    <w:p>
      <w:pPr>
        <w:pStyle w:val="TextBody"/>
        <w:bidi w:val="0"/>
        <w:spacing w:lineRule="auto" w:line="316" w:before="0" w:after="200"/>
        <w:jc w:val="left"/>
        <w:rPr/>
      </w:pPr>
      <w:r>
        <w:rPr>
          <w:rFonts w:ascii="Times New Roman;sans-serif" w:hAnsi="Times New Roman;sans-serif"/>
          <w:b/>
          <w:color w:val="000000"/>
          <w:sz w:val="22"/>
        </w:rPr>
        <w:t>Share-based Compensation.</w:t>
      </w:r>
      <w:r>
        <w:rPr>
          <w:color w:val="000000"/>
        </w:rPr>
        <w:t> </w:t>
      </w:r>
      <w:r>
        <w:rPr>
          <w:rFonts w:ascii="Times New Roman;sans-serif" w:hAnsi="Times New Roman;sans-serif"/>
          <w:b w:val="false"/>
          <w:color w:val="000000"/>
          <w:sz w:val="22"/>
        </w:rPr>
        <w:t>Share-based compensation consists of non-cash charges related to the fair value of restricted stock units awarded to employees. We believe that the exclusion of these non-cash charges provides for more accurate comparisons of our operating results to our peer companies due to the varying available valuation methodologies, subjective assumptions and the variety of award types. In addition, we believe it is useful to investors to understand the specific impact of share-based compensation on our operating results.</w:t>
      </w:r>
    </w:p>
    <w:p>
      <w:pPr>
        <w:pStyle w:val="TextBody"/>
        <w:bidi w:val="0"/>
        <w:spacing w:lineRule="auto" w:line="316" w:before="0" w:after="0"/>
        <w:jc w:val="left"/>
        <w:rPr/>
      </w:pPr>
      <w:r>
        <w:rPr>
          <w:rFonts w:ascii="Times New Roman;sans-serif" w:hAnsi="Times New Roman;sans-serif"/>
          <w:b/>
          <w:color w:val="000000"/>
          <w:sz w:val="22"/>
        </w:rPr>
        <w:t>Non-IFRS Net Loss.</w:t>
      </w:r>
      <w:r>
        <w:rPr>
          <w:color w:val="000000"/>
        </w:rPr>
        <w:t xml:space="preserve"> </w:t>
      </w:r>
      <w:r>
        <w:rPr>
          <w:rFonts w:ascii="Times New Roman;sans-serif" w:hAnsi="Times New Roman;sans-serif"/>
          <w:b w:val="false"/>
          <w:color w:val="000000"/>
          <w:sz w:val="22"/>
        </w:rPr>
        <w:t>Gogoro defines non-IFRS net loss as net loss excluding share-based compensation, the change in fair value of financial liabilities including revaluation of redeemable preferred shares, change in fair value of earnout, earn-in and warrants associated with the merger of Poema, listing expenses and one-time non-recurring costs associated with the merger. These amounts do not reflect the impact of any related tax effects.</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 xml:space="preserve">EBITDA. </w:t>
      </w:r>
      <w:r>
        <w:rPr>
          <w:rFonts w:ascii="Times New Roman;sans-serif" w:hAnsi="Times New Roman;sans-serif"/>
          <w:b w:val="false"/>
          <w:color w:val="000000"/>
          <w:sz w:val="22"/>
        </w:rPr>
        <w:t>Gogoro defines EBITDA as net loss excluding interest expense, net, provision for income tax, depreciation, and amortization. These amounts do not reflect the impact of any related tax effects.</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Adjusted EBITDA.</w:t>
      </w:r>
      <w:r>
        <w:rPr>
          <w:color w:val="000000"/>
        </w:rPr>
        <w:t xml:space="preserve"> </w:t>
      </w:r>
      <w:r>
        <w:rPr>
          <w:rFonts w:ascii="Times New Roman;sans-serif" w:hAnsi="Times New Roman;sans-serif"/>
          <w:b w:val="false"/>
          <w:color w:val="000000"/>
          <w:sz w:val="22"/>
        </w:rPr>
        <w:t>Gogoro defines Adjusted EBITDA, as EBITDA excluding share-based compensation, the change in fair value of financial liabilities including revaluation of redeemable preferred shares, change in fair value of earnout, earn-in and warrants associated with the merger of Poema, and one-time non-recurring costs associated with the merger. These amounts do not reflect the impact of any related tax effects.</w:t>
      </w:r>
    </w:p>
    <w:p>
      <w:pPr>
        <w:pStyle w:val="TextBody"/>
        <w:bidi w:val="0"/>
        <w:spacing w:before="0" w:after="0"/>
        <w:jc w:val="left"/>
        <w:rPr/>
      </w:pPr>
      <w:r>
        <w:rPr/>
      </w:r>
    </w:p>
    <w:p>
      <w:pPr>
        <w:pStyle w:val="TextBody"/>
        <w:bidi w:val="0"/>
        <w:spacing w:lineRule="auto" w:line="316"/>
        <w:jc w:val="left"/>
        <w:rPr/>
      </w:pPr>
      <w:r>
        <w:rPr>
          <w:rFonts w:ascii="Times New Roman;sans-serif" w:hAnsi="Times New Roman;sans-serif"/>
          <w:b/>
          <w:color w:val="000000"/>
          <w:sz w:val="22"/>
        </w:rPr>
        <w:t>Acquisition-related Expenses.</w:t>
      </w:r>
      <w:r>
        <w:rPr>
          <w:color w:val="000000"/>
        </w:rPr>
        <w:t xml:space="preserve"> </w:t>
      </w:r>
      <w:r>
        <w:rPr>
          <w:rFonts w:ascii="Times New Roman;sans-serif" w:hAnsi="Times New Roman;sans-serif"/>
          <w:b w:val="false"/>
          <w:color w:val="000000"/>
          <w:sz w:val="22"/>
        </w:rPr>
        <w:t xml:space="preserve">Gogoro incurs acquisition-related and other expenses which consist of costs incurred after the issuance of a definitive term sheet for a particular transaction and include legal, banker, accounting, printer costs, valuation and other advisory fees. Management excludes these items for </w:t>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purposes of calculating non-IFRS adjusted EBITDA. Gogoro generally would not have otherwise incurred such expenses in the periods presented as part of its continuing operations. The acquisition-related expenses are not recurring with respect to past transactions, can be inconsistent in amount and frequency from period to period and are significantly impacted by the timing and magnitude of Gogoro’s acquisitions. While these expenses are not recurring with respect to past transactions, Gogoro generally will incur these expenses in connection with any future acquisitions.</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Listing Expense.</w:t>
      </w:r>
      <w:r>
        <w:rPr>
          <w:color w:val="000000"/>
        </w:rPr>
        <w:t xml:space="preserve"> </w:t>
      </w:r>
      <w:r>
        <w:rPr>
          <w:rFonts w:ascii="Times New Roman;sans-serif" w:hAnsi="Times New Roman;sans-serif"/>
          <w:b w:val="false"/>
          <w:color w:val="000000"/>
          <w:sz w:val="22"/>
        </w:rPr>
        <w:t xml:space="preserve">In connection with the merger with Poema, the excess fair value of shares issued by Gogoro in exchange for the net assets of Poema was recorded as listing expense in operating expense. The listing expense for the merger is not recurring with respect to past transactions, can be inconsistent in amount and frequency from period to period and is significantly impacted by the timing and magnitude of the merger. </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 xml:space="preserve">Exit Activities. </w:t>
      </w:r>
      <w:r>
        <w:rPr>
          <w:rFonts w:ascii="Times New Roman;sans-serif" w:hAnsi="Times New Roman;sans-serif"/>
          <w:b w:val="false"/>
          <w:color w:val="000000"/>
          <w:sz w:val="22"/>
        </w:rPr>
        <w:t>We have incurred charges including the exit of certain product lines as well as other non-recurring activities. These charges are not representative of ongoing costs to the business and are not expected to recur. As a result, these charges are being excluded to provide investors with a more comparable measure of costs associated with ongoing operations.</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 xml:space="preserve">Battery Upgrade Initiatives. </w:t>
      </w:r>
      <w:r>
        <w:rPr>
          <w:rFonts w:ascii="Times New Roman;sans-serif" w:hAnsi="Times New Roman;sans-serif"/>
          <w:b w:val="false"/>
          <w:color w:val="000000"/>
          <w:sz w:val="22"/>
        </w:rPr>
        <w:t>As we perform certain voluntary upgrades to our battery packs, this charge represents the derecognition expense on components removed from the battery pack which are not expected to generate any future benefits from its disposal. We will only upgrade battery packs in instances where the value created exceeds the cost of the upgrade. The program will improve batteries' capacity and extend the remaining useful life of certain battery packs. The derecognition expense is recorded under Cost of Revenues in the Condensed Consolidated Statements of Comprehensive Loss. We exclude these derecognition expenses for purposes of calculating certain non-IFRS measures because these charges do not reflect how management evaluates our operating performance. The adjustments facilitate a useful evaluation of our operating performance and comparisons to past operating results and provide investors with additional means to evaluate our profitability trends. We expect the derecognition expense to recur in future periods as incurred during the implementation phase of the battery upgrade program.</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 xml:space="preserve">Impairment charges. </w:t>
      </w:r>
      <w:r>
        <w:rPr>
          <w:rFonts w:ascii="Times New Roman;sans-serif" w:hAnsi="Times New Roman;sans-serif"/>
          <w:b w:val="false"/>
          <w:color w:val="000000"/>
          <w:sz w:val="22"/>
        </w:rPr>
        <w:t>Non-cash impairment charges, primarily associated with adjustments to the carrying values of certain machinery equipment which is currently underutilized. While the process of evaluating the potential impairment of long-lived assets under the accounting guidance on property, plant and equipment is subjective and requires judgment, we also believe that these machinery and equipment will be redeployed and/or used in Gogoro's operations in the future. We exclude impairment charges for purposes of calculating certain non-IFRS measures because the charges do not reflect our core operating performance. These adjustments facilitate a useful evaluation of our core operating performance and comparisons to past operating results and provide investors with additional means to evaluate expense trends.</w:t>
      </w:r>
    </w:p>
    <w:p>
      <w:pPr>
        <w:pStyle w:val="TextBody"/>
        <w:bidi w:val="0"/>
        <w:spacing w:before="0" w:after="0"/>
        <w:jc w:val="left"/>
        <w:rPr/>
      </w:pPr>
      <w:r>
        <w:rPr/>
      </w:r>
    </w:p>
    <w:p>
      <w:pPr>
        <w:pStyle w:val="TextBody"/>
        <w:bidi w:val="0"/>
        <w:spacing w:lineRule="auto" w:line="316"/>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These non-IFRS financial measures exclude share-based compensation, interest expense, income tax, depreciation and amortization, change in fair value of financial liabilities including revaluation of redeemable preferred shares, change in fair value of earnout shares, earn-in shares and warrants associated with the merger of Poema, listing expense and one-time non-recurring costs associated with the merger. The Company uses these non-IFRS financial measures internally in analyzing its financial </w:t>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Non-IFRS financial measures are not meant to be considered in isolation or as a substitute for comparable IFRS financial measures. Non-IFRS financial measures are subject to limitations and should be read only in conjunction with the Company's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tbl>
      <w:tblPr>
        <w:tblW w:w="5743" w:type="dxa"/>
        <w:jc w:val="left"/>
        <w:tblInd w:w="0" w:type="dxa"/>
        <w:tblLayout w:type="fixed"/>
        <w:tblCellMar>
          <w:top w:w="28" w:type="dxa"/>
          <w:left w:w="28" w:type="dxa"/>
          <w:bottom w:w="28" w:type="dxa"/>
          <w:right w:w="28" w:type="dxa"/>
        </w:tblCellMar>
      </w:tblPr>
      <w:tblGrid>
        <w:gridCol w:w="977"/>
        <w:gridCol w:w="860"/>
        <w:gridCol w:w="864"/>
        <w:gridCol w:w="109"/>
        <w:gridCol w:w="109"/>
        <w:gridCol w:w="109"/>
        <w:gridCol w:w="793"/>
        <w:gridCol w:w="793"/>
        <w:gridCol w:w="1129"/>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ans-serif" w:hAnsi="Times New Roman;sans-serif"/>
                <w:b/>
                <w:color w:val="000000"/>
                <w:sz w:val="22"/>
              </w:rPr>
            </w:pPr>
            <w:r>
              <w:rPr>
                <w:rFonts w:ascii="Times New Roman;sans-serif" w:hAnsi="Times New Roman;sans-serif"/>
                <w:b/>
                <w:color w:val="000000"/>
                <w:sz w:val="22"/>
              </w:rPr>
              <w:t>Gogoro Media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ans-serif" w:hAnsi="Times New Roman;sans-serif"/>
                <w:b/>
                <w:color w:val="000000"/>
                <w:sz w:val="22"/>
              </w:rPr>
            </w:pPr>
            <w:r>
              <w:rPr>
                <w:rFonts w:ascii="Times New Roman;sans-serif" w:hAnsi="Times New Roman;sans-serif"/>
                <w:b/>
                <w:color w:val="000000"/>
                <w:sz w:val="22"/>
              </w:rPr>
              <w:t>Gogoro Investor Contact:</w:t>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80" w:after="1"/>
              <w:jc w:val="left"/>
              <w:rPr>
                <w:rFonts w:ascii="Times New Roman;sans-serif" w:hAnsi="Times New Roman;sans-serif"/>
                <w:b w:val="false"/>
                <w:color w:val="000000"/>
                <w:sz w:val="22"/>
              </w:rPr>
            </w:pPr>
            <w:r>
              <w:rPr>
                <w:rFonts w:ascii="Times New Roman;sans-serif" w:hAnsi="Times New Roman;sans-serif"/>
                <w:b w:val="false"/>
                <w:color w:val="000000"/>
                <w:sz w:val="22"/>
              </w:rPr>
              <w:t>Jason Gordon, Gogoro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ir@gogoro.com</w:t>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 (206) 778-7245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jason.gordon@gogoro.com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w:t>
      </w:r>
    </w:p>
    <w:p>
      <w:pPr>
        <w:pStyle w:val="TextBody"/>
        <w:bidi w:val="0"/>
        <w:spacing w:lineRule="auto" w:line="319" w:before="0" w:after="0"/>
        <w:jc w:val="center"/>
        <w:rPr/>
      </w:pPr>
      <w:r>
        <w:rPr>
          <w:rFonts w:ascii="Times New Roman;sans-serif" w:hAnsi="Times New Roman;sans-serif"/>
          <w:b w:val="false"/>
          <w:i/>
          <w:color w:val="000000"/>
          <w:sz w:val="18"/>
        </w:rPr>
        <w:t>(unaudited)</w:t>
      </w:r>
      <w:r>
        <w:rPr>
          <w:rFonts w:ascii="Times New Roman;sans-serif" w:hAnsi="Times New Roman;sans-serif"/>
          <w:b w:val="false"/>
          <w:i/>
          <w:color w:val="FFFFFF"/>
          <w:sz w:val="12"/>
        </w:rPr>
        <w:t>2</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p>
      <w:pPr>
        <w:pStyle w:val="TextBody"/>
        <w:bidi w:val="0"/>
        <w:spacing w:before="0" w:after="0"/>
        <w:jc w:val="center"/>
        <w:rPr/>
      </w:pPr>
      <w:r>
        <w:rPr/>
      </w:r>
    </w:p>
    <w:tbl>
      <w:tblPr>
        <w:tblW w:w="5125" w:type="dxa"/>
        <w:jc w:val="center"/>
        <w:tblInd w:w="0" w:type="dxa"/>
        <w:tblLayout w:type="fixed"/>
        <w:tblCellMar>
          <w:top w:w="28" w:type="dxa"/>
          <w:left w:w="28" w:type="dxa"/>
          <w:bottom w:w="28" w:type="dxa"/>
          <w:right w:w="28" w:type="dxa"/>
        </w:tblCellMar>
      </w:tblPr>
      <w:tblGrid>
        <w:gridCol w:w="898"/>
        <w:gridCol w:w="787"/>
        <w:gridCol w:w="789"/>
        <w:gridCol w:w="214"/>
        <w:gridCol w:w="806"/>
        <w:gridCol w:w="119"/>
        <w:gridCol w:w="109"/>
        <w:gridCol w:w="109"/>
        <w:gridCol w:w="109"/>
        <w:gridCol w:w="214"/>
        <w:gridCol w:w="803"/>
        <w:gridCol w:w="168"/>
      </w:tblGrid>
      <w:tr>
        <w:trPr/>
        <w:tc>
          <w:tcPr>
            <w:tcW w:w="89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Inventories</w:t>
            </w:r>
            <w:r>
              <w:rPr>
                <w:rFonts w:ascii="Times New Roman;sans-serif" w:hAnsi="Times New Roman;sans-serif"/>
                <w:b w:val="false"/>
                <w:color w:val="000000"/>
                <w:sz w:val="12"/>
              </w:rPr>
              <w:t>2</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current</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397,905 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Property, plant and equipment</w:t>
            </w:r>
            <w:r>
              <w:rPr>
                <w:rFonts w:ascii="Times New Roman;sans-serif" w:hAnsi="Times New Roman;sans-serif"/>
                <w:b w:val="false"/>
                <w:color w:val="000000"/>
                <w:sz w:val="12"/>
              </w:rPr>
              <w:t>2</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non-current</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833,393 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873,423 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current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liabilities at fair value</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and trade payables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current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Provisions, current</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current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214,054 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248,166 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non-current</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334,581 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293,192 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Provisions, non-current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non-current</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non-current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585,543 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574,449 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247,850 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298,974 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833,393 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873,423 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242" w:type="dxa"/>
        <w:jc w:val="center"/>
        <w:tblInd w:w="0" w:type="dxa"/>
        <w:tblLayout w:type="fixed"/>
        <w:tblCellMar>
          <w:top w:w="28" w:type="dxa"/>
          <w:left w:w="28" w:type="dxa"/>
          <w:bottom w:w="28" w:type="dxa"/>
          <w:right w:w="28" w:type="dxa"/>
        </w:tblCellMar>
      </w:tblPr>
      <w:tblGrid>
        <w:gridCol w:w="575"/>
        <w:gridCol w:w="506"/>
        <w:gridCol w:w="509"/>
        <w:gridCol w:w="235"/>
        <w:gridCol w:w="775"/>
        <w:gridCol w:w="130"/>
        <w:gridCol w:w="109"/>
        <w:gridCol w:w="109"/>
        <w:gridCol w:w="109"/>
        <w:gridCol w:w="214"/>
        <w:gridCol w:w="803"/>
        <w:gridCol w:w="168"/>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Inventories: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76,740 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Semi-finished goods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Merchandise</w:t>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53,109 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114,701 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108"/>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 xml:space="preserve">At December 31, 2023, the company classified $37.4 million of undeployed battery packs and related battery cells in property, plan and equipment based on the company's deployment plan for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Loss</w:t>
      </w:r>
    </w:p>
    <w:p>
      <w:pPr>
        <w:pStyle w:val="TextBody"/>
        <w:bidi w:val="0"/>
        <w:spacing w:lineRule="auto" w:line="319"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unaudited)</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 except net loss per share)</w:t>
      </w:r>
    </w:p>
    <w:p>
      <w:pPr>
        <w:pStyle w:val="TextBody"/>
        <w:bidi w:val="0"/>
        <w:spacing w:before="0" w:after="0"/>
        <w:jc w:val="center"/>
        <w:rPr/>
      </w:pPr>
      <w:r>
        <w:rPr/>
      </w:r>
    </w:p>
    <w:tbl>
      <w:tblPr>
        <w:tblW w:w="10195" w:type="dxa"/>
        <w:jc w:val="center"/>
        <w:tblInd w:w="0" w:type="dxa"/>
        <w:tblLayout w:type="fixed"/>
        <w:tblCellMar>
          <w:top w:w="28" w:type="dxa"/>
          <w:left w:w="28" w:type="dxa"/>
          <w:bottom w:w="28" w:type="dxa"/>
          <w:right w:w="28" w:type="dxa"/>
        </w:tblCellMar>
      </w:tblPr>
      <w:tblGrid>
        <w:gridCol w:w="1615"/>
        <w:gridCol w:w="1417"/>
        <w:gridCol w:w="1423"/>
        <w:gridCol w:w="224"/>
        <w:gridCol w:w="829"/>
        <w:gridCol w:w="124"/>
        <w:gridCol w:w="124"/>
        <w:gridCol w:w="124"/>
        <w:gridCol w:w="124"/>
        <w:gridCol w:w="224"/>
        <w:gridCol w:w="742"/>
        <w:gridCol w:w="124"/>
        <w:gridCol w:w="109"/>
        <w:gridCol w:w="109"/>
        <w:gridCol w:w="109"/>
        <w:gridCol w:w="215"/>
        <w:gridCol w:w="808"/>
        <w:gridCol w:w="119"/>
        <w:gridCol w:w="119"/>
        <w:gridCol w:w="119"/>
        <w:gridCol w:w="119"/>
        <w:gridCol w:w="215"/>
        <w:gridCol w:w="891"/>
        <w:gridCol w:w="169"/>
      </w:tblGrid>
      <w:tr>
        <w:trPr/>
        <w:tc>
          <w:tcPr>
            <w:tcW w:w="161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December 31,</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95,466 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349,846 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382,826 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81,429 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81,136 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299,401 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325,113 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57,713 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Sales and marketing </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44,440 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70,972 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Listing expense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34,905 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41,862 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137,670 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356,042 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(87,225)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(298,329)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Non-operating income and expenses:</w:t>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liabilities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investment under equity method</w:t>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non-operating income</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199,423 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10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(27,536)</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(12,530)</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(76,868)</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(98,906)</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(27,536)</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(12,532)</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(76,868)</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(98,908)</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differences on translation</w:t>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loss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(77,566)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(115,088)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net loss per share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in computing basic and diluted net loss per share</w:t>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235,908 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231,948 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234,803 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222,000 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December 31,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hardware and others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64,035 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218,061 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261,166 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Battery swapping service</w:t>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32,580 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131,785 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121,660 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95,466 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349,846 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382,826 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December 31,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p>
      <w:pPr>
        <w:pStyle w:val="TextBody"/>
        <w:bidi w:val="0"/>
        <w:spacing w:before="0" w:after="0"/>
        <w:jc w:val="center"/>
        <w:rPr/>
      </w:pPr>
      <w:r>
        <w:rPr/>
      </w:r>
    </w:p>
    <w:tbl>
      <w:tblPr>
        <w:tblW w:w="7405" w:type="dxa"/>
        <w:jc w:val="left"/>
        <w:tblInd w:w="0" w:type="dxa"/>
        <w:tblLayout w:type="fixed"/>
        <w:tblCellMar>
          <w:top w:w="28" w:type="dxa"/>
          <w:left w:w="28" w:type="dxa"/>
          <w:bottom w:w="28" w:type="dxa"/>
          <w:right w:w="28" w:type="dxa"/>
        </w:tblCellMar>
      </w:tblPr>
      <w:tblGrid>
        <w:gridCol w:w="1608"/>
        <w:gridCol w:w="1410"/>
        <w:gridCol w:w="1421"/>
        <w:gridCol w:w="237"/>
        <w:gridCol w:w="891"/>
        <w:gridCol w:w="131"/>
        <w:gridCol w:w="131"/>
        <w:gridCol w:w="131"/>
        <w:gridCol w:w="131"/>
        <w:gridCol w:w="237"/>
        <w:gridCol w:w="891"/>
        <w:gridCol w:w="186"/>
      </w:tblGrid>
      <w:tr>
        <w:trPr/>
        <w:tc>
          <w:tcPr>
            <w:tcW w:w="160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(76,868)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(98,908)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credit loss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investment under equity method</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(205,938)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Write-down of inventories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listing expense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and trade payables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 for product warranty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operations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68,491 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paid, net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59,755 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(64,790)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property, plant and equipment,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(116,759)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(122,684)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refundable deposits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purchase of equity investment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intangible assets, net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(Increase) decrease in other financial assets </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(137,118)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(101,102)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(127,221)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(193,241)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 from issuance of shares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326,965 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financial liabilities at fair value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(108,149)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Guarantee deposits (refund) received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the principal portion of lease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186,396 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(62,215)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the beginning of the period</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the end of the period</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173,885 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236,100 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Changes in Equity</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bl>
      <w:tblPr>
        <w:tblW w:w="10205" w:type="dxa"/>
        <w:jc w:val="center"/>
        <w:tblInd w:w="0" w:type="dxa"/>
        <w:tblLayout w:type="fixed"/>
        <w:tblCellMar>
          <w:top w:w="28" w:type="dxa"/>
          <w:left w:w="28" w:type="dxa"/>
          <w:bottom w:w="28" w:type="dxa"/>
          <w:right w:w="28" w:type="dxa"/>
        </w:tblCellMar>
      </w:tblPr>
      <w:tblGrid>
        <w:gridCol w:w="1137"/>
        <w:gridCol w:w="824"/>
        <w:gridCol w:w="827"/>
        <w:gridCol w:w="307"/>
        <w:gridCol w:w="519"/>
        <w:gridCol w:w="171"/>
        <w:gridCol w:w="109"/>
        <w:gridCol w:w="109"/>
        <w:gridCol w:w="109"/>
        <w:gridCol w:w="209"/>
        <w:gridCol w:w="787"/>
        <w:gridCol w:w="116"/>
        <w:gridCol w:w="109"/>
        <w:gridCol w:w="109"/>
        <w:gridCol w:w="109"/>
        <w:gridCol w:w="231"/>
        <w:gridCol w:w="920"/>
        <w:gridCol w:w="128"/>
        <w:gridCol w:w="109"/>
        <w:gridCol w:w="109"/>
        <w:gridCol w:w="109"/>
        <w:gridCol w:w="370"/>
        <w:gridCol w:w="1051"/>
        <w:gridCol w:w="208"/>
        <w:gridCol w:w="109"/>
        <w:gridCol w:w="109"/>
        <w:gridCol w:w="109"/>
        <w:gridCol w:w="196"/>
        <w:gridCol w:w="736"/>
        <w:gridCol w:w="160"/>
      </w:tblGrid>
      <w:tr>
        <w:trPr/>
        <w:tc>
          <w:tcPr>
            <w:tcW w:w="11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Exchange Difference on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643,470 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(349,940)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298,974 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for the twelve months ended December 31, 2023</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(76,868)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(76,868)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for the twelve months ended December 31, 2023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Shared-based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669,912 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(426,808)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247,850 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Reconciliation of IFRS Financial Metrics to Non-IFRS</w:t>
      </w:r>
    </w:p>
    <w:p>
      <w:pPr>
        <w:pStyle w:val="TextBody"/>
        <w:bidi w:val="0"/>
        <w:spacing w:lineRule="auto" w:line="25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25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bl>
      <w:tblPr>
        <w:tblW w:w="10205" w:type="dxa"/>
        <w:jc w:val="center"/>
        <w:tblInd w:w="0" w:type="dxa"/>
        <w:tblLayout w:type="fixed"/>
        <w:tblCellMar>
          <w:top w:w="28" w:type="dxa"/>
          <w:left w:w="28" w:type="dxa"/>
          <w:bottom w:w="28" w:type="dxa"/>
          <w:right w:w="28" w:type="dxa"/>
        </w:tblCellMar>
      </w:tblPr>
      <w:tblGrid>
        <w:gridCol w:w="434"/>
        <w:gridCol w:w="381"/>
        <w:gridCol w:w="383"/>
        <w:gridCol w:w="198"/>
        <w:gridCol w:w="747"/>
        <w:gridCol w:w="110"/>
        <w:gridCol w:w="109"/>
        <w:gridCol w:w="109"/>
        <w:gridCol w:w="109"/>
        <w:gridCol w:w="196"/>
        <w:gridCol w:w="646"/>
        <w:gridCol w:w="109"/>
        <w:gridCol w:w="109"/>
        <w:gridCol w:w="109"/>
        <w:gridCol w:w="109"/>
        <w:gridCol w:w="259"/>
        <w:gridCol w:w="974"/>
        <w:gridCol w:w="144"/>
        <w:gridCol w:w="109"/>
        <w:gridCol w:w="109"/>
        <w:gridCol w:w="109"/>
        <w:gridCol w:w="198"/>
        <w:gridCol w:w="747"/>
        <w:gridCol w:w="110"/>
        <w:gridCol w:w="109"/>
        <w:gridCol w:w="109"/>
        <w:gridCol w:w="109"/>
        <w:gridCol w:w="382"/>
        <w:gridCol w:w="269"/>
        <w:gridCol w:w="600"/>
        <w:gridCol w:w="109"/>
        <w:gridCol w:w="109"/>
        <w:gridCol w:w="109"/>
        <w:gridCol w:w="425"/>
        <w:gridCol w:w="342"/>
        <w:gridCol w:w="916"/>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IFRS revenue 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excluding FX effect YoY change %</w:t>
            </w:r>
          </w:p>
        </w:tc>
      </w:tr>
      <w:tr>
        <w:trPr/>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IFRS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excluding FX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IFRS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hardware and others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59,470 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64,035 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Battery swapping service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6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92,785 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IFRS revenue 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excluding FX effect YoY change %</w:t>
            </w:r>
          </w:p>
        </w:tc>
      </w:tr>
      <w:tr>
        <w:trPr/>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IFRS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excluding FX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IFRS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hardware and others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218,061 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227,623 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Battery swapping service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6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349,846 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365,403 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382,826 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tbl>
      <w:tblPr>
        <w:tblW w:w="10205" w:type="dxa"/>
        <w:jc w:val="center"/>
        <w:tblInd w:w="0" w:type="dxa"/>
        <w:tblLayout w:type="fixed"/>
        <w:tblCellMar>
          <w:top w:w="28" w:type="dxa"/>
          <w:left w:w="28" w:type="dxa"/>
          <w:bottom w:w="28" w:type="dxa"/>
          <w:right w:w="28" w:type="dxa"/>
        </w:tblCellMar>
      </w:tblPr>
      <w:tblGrid>
        <w:gridCol w:w="1082"/>
        <w:gridCol w:w="730"/>
        <w:gridCol w:w="733"/>
        <w:gridCol w:w="196"/>
        <w:gridCol w:w="646"/>
        <w:gridCol w:w="109"/>
        <w:gridCol w:w="233"/>
        <w:gridCol w:w="233"/>
        <w:gridCol w:w="241"/>
        <w:gridCol w:w="109"/>
        <w:gridCol w:w="109"/>
        <w:gridCol w:w="109"/>
        <w:gridCol w:w="196"/>
        <w:gridCol w:w="646"/>
        <w:gridCol w:w="109"/>
        <w:gridCol w:w="233"/>
        <w:gridCol w:w="233"/>
        <w:gridCol w:w="241"/>
        <w:gridCol w:w="109"/>
        <w:gridCol w:w="109"/>
        <w:gridCol w:w="109"/>
        <w:gridCol w:w="196"/>
        <w:gridCol w:w="646"/>
        <w:gridCol w:w="109"/>
        <w:gridCol w:w="233"/>
        <w:gridCol w:w="233"/>
        <w:gridCol w:w="241"/>
        <w:gridCol w:w="109"/>
        <w:gridCol w:w="109"/>
        <w:gridCol w:w="109"/>
        <w:gridCol w:w="196"/>
        <w:gridCol w:w="646"/>
        <w:gridCol w:w="109"/>
        <w:gridCol w:w="233"/>
        <w:gridCol w:w="233"/>
        <w:gridCol w:w="288"/>
      </w:tblGrid>
      <w:tr>
        <w:trPr/>
        <w:tc>
          <w:tcPr>
            <w:tcW w:w="108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December 31,</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 and 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Exit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Battery upgrade initiatives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Non-IFRS gross profit and 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December 31,</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(27,536)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(76,868)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(98,908)</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37,907 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financial liabilities</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(205,938)</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Acquisition-related expenses</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20,855 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Listing expense</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178,804 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Exit activities</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3,936 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Battery upgrade initiatives</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Impairment charges</w:t>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Non-IFRS 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(19,287)</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(15,462)</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(62,526)</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(63,344)</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December 31,</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(27,536)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(76,868)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(98,908)</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net</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9,729 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25,084 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21,831 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98,377 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94,807 </w:t>
            </w:r>
          </w:p>
        </w:tc>
        <w:tc>
          <w:tcPr>
            <w:tcW w:w="28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EBITDA</w:t>
            </w:r>
          </w:p>
        </w:tc>
        <w:tc>
          <w:tcPr>
            <w:tcW w:w="141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37,907 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financial liabilities</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(205,938)</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Acquisition-related expenses</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20,855 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Listing expense</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178,804 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Exit activities</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3,936 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Battery upgrade initiatives</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Impairment charges</w:t>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44,830 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41,194 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5348</Words>
  <Characters>30415</Characters>
  <CharactersWithSpaces>35624</CharactersWithSpaces>
  <Paragraphs>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