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May 9, 2024, Gogoro Inc. issued a press release announcing its financial and operating results for the first quarter ended March 31, 2024. A copy of the press release is furnished herewith as Exhibit 99.1 to this Report on Form 6-K and is incorporated by reference herein.</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sectPr>
          <w:pgSz w:w="11900" w:h="16838" w:orient="portrait"/>
          <w:cols w:equalWidth="0" w:num="1">
            <w:col w:w="11200"/>
          </w:cols>
          <w:pgMar w:left="320" w:top="1440" w:right="37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w w:val="98"/>
              </w:rPr>
              <w:t>EXHIBITS INDEX</w:t>
            </w:r>
          </w:p>
        </w:tc>
      </w:tr>
      <w:tr>
        <w:trPr>
          <w:trHeight w:val="67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Gogoro Inc., dated May 9, 2024.</w:t>
            </w: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Gogoro Inc.</w:t>
            </w:r>
          </w:p>
        </w:tc>
      </w:tr>
      <w:tr>
        <w:trPr>
          <w:trHeight w:val="44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Morrison Aitken</w:t>
            </w:r>
          </w:p>
        </w:tc>
      </w:tr>
      <w:tr>
        <w:trPr>
          <w:trHeight w:val="218"/>
        </w:trPr>
        <w:tc>
          <w:tcPr>
            <w:tcW w:w="60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Morrison Aitken</w:t>
            </w:r>
          </w:p>
        </w:tc>
      </w:tr>
      <w:tr>
        <w:trPr>
          <w:trHeight w:val="234"/>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highlight w:val="white"/>
        </w:rPr>
        <w:t xml:space="preserve">Gogoro Releases First Quarter </w:t>
      </w:r>
      <w:r>
        <w:rPr>
          <w:rFonts w:ascii="Times New Roman" w:cs="Times New Roman" w:eastAsia="Times New Roman" w:hAnsi="Times New Roman"/>
          <w:sz w:val="27"/>
          <w:szCs w:val="27"/>
          <w:b w:val="1"/>
          <w:bCs w:val="1"/>
          <w:color w:val="auto"/>
        </w:rPr>
        <w:t>2024 Financial Results</w:t>
      </w:r>
    </w:p>
    <w:p>
      <w:pPr>
        <w:spacing w:after="0" w:line="200" w:lineRule="exact"/>
        <w:rPr>
          <w:sz w:val="20"/>
          <w:szCs w:val="20"/>
          <w:color w:val="auto"/>
        </w:rPr>
      </w:pPr>
    </w:p>
    <w:p>
      <w:pPr>
        <w:spacing w:after="0" w:line="279"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color w:val="auto"/>
          <w:highlight w:val="white"/>
        </w:rPr>
        <w:t>TAIPEI, TAIWAN, MAY 9</w:t>
      </w:r>
      <w:r>
        <w:rPr>
          <w:rFonts w:ascii="Times New Roman" w:cs="Times New Roman" w:eastAsia="Times New Roman" w:hAnsi="Times New Roman"/>
          <w:sz w:val="20"/>
          <w:szCs w:val="20"/>
          <w:b w:val="1"/>
          <w:bCs w:val="1"/>
          <w:color w:val="auto"/>
        </w:rPr>
        <w:t>, 2024</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 Gogoro Inc. (“Gogoro,” “the Company” or “We”) (Nasdaq: GGR), a global technology leader in battery</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swapping ecosystems that enable sustainable mobility solutions for cities, today released its financial results for its first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-513715</wp:posOffset>
            </wp:positionV>
            <wp:extent cx="12001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2024 Summary</w:t>
      </w:r>
    </w:p>
    <w:p>
      <w:pPr>
        <w:spacing w:after="0" w:line="243"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of $69.7 million, down 12.1% year-over-year and down 9.0% on a constant currency basis.</w:t>
      </w:r>
    </w:p>
    <w:p>
      <w:pPr>
        <w:spacing w:after="0" w:line="20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Battery swapping service revenue of $32.5 million, up 0.6% year-over-year and up 4.1% on a constant currency basis.</w:t>
      </w:r>
    </w:p>
    <w:p>
      <w:pPr>
        <w:spacing w:after="0" w:line="215" w:lineRule="exact"/>
        <w:rPr>
          <w:rFonts w:ascii="Times New Roman" w:cs="Times New Roman" w:eastAsia="Times New Roman" w:hAnsi="Times New Roman"/>
          <w:sz w:val="20"/>
          <w:szCs w:val="20"/>
          <w:b w:val="1"/>
          <w:bCs w:val="1"/>
          <w:color w:val="auto"/>
        </w:rPr>
      </w:pPr>
    </w:p>
    <w:p>
      <w:pPr>
        <w:ind w:left="660" w:right="40" w:hanging="328"/>
        <w:spacing w:after="0" w:line="283"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Introduced two new vehicles, namely Gogoro Pulse, our new flagship Smartscooter, and JEGO, our new entry-level Smartscooter that received more than 5,000 backlog orders in the first quarter and started shipping early in the second quarter. Revenue associated with these backlog orders for JEGO in the first quarter is estimated to be $8.6 million which will not be recognized as revenue until vehicles are delivered.</w:t>
      </w:r>
    </w:p>
    <w:p>
      <w:pPr>
        <w:spacing w:after="0" w:line="143"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Sales of hardware and others of $37.2 million, down 20.8% year-over-year and down 18.1% on a constant currency basis.</w:t>
      </w:r>
    </w:p>
    <w:p>
      <w:pPr>
        <w:spacing w:after="0" w:line="215" w:lineRule="exact"/>
        <w:rPr>
          <w:rFonts w:ascii="Times New Roman" w:cs="Times New Roman" w:eastAsia="Times New Roman" w:hAnsi="Times New Roman"/>
          <w:sz w:val="20"/>
          <w:szCs w:val="20"/>
          <w:b w:val="1"/>
          <w:bCs w:val="1"/>
          <w:color w:val="auto"/>
        </w:rPr>
      </w:pPr>
    </w:p>
    <w:p>
      <w:pPr>
        <w:ind w:left="660" w:right="20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Gross margin of 6.4%, down from 12.9% in the same quarter last year. Non-IFRS gross margin of 13.3%, down 0.4% year-over-year.</w:t>
      </w:r>
    </w:p>
    <w:p>
      <w:pPr>
        <w:spacing w:after="0" w:line="12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of $13.1 million as compared to a net loss of $40.6 million in the same quarter last year.</w:t>
      </w:r>
    </w:p>
    <w:p>
      <w:pPr>
        <w:spacing w:after="0" w:line="20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Adjusted EBITDA of $9.0 million, down from $10.6 million in the same quarter last year.</w:t>
      </w:r>
    </w:p>
    <w:p>
      <w:pPr>
        <w:spacing w:after="0" w:line="220" w:lineRule="exact"/>
        <w:rPr>
          <w:sz w:val="20"/>
          <w:szCs w:val="20"/>
          <w:color w:val="auto"/>
        </w:rPr>
      </w:pPr>
    </w:p>
    <w:p>
      <w:pPr>
        <w:ind w:left="20" w:firstLine="6"/>
        <w:spacing w:after="0" w:line="296" w:lineRule="auto"/>
        <w:rPr>
          <w:sz w:val="20"/>
          <w:szCs w:val="20"/>
          <w:color w:val="auto"/>
        </w:rPr>
      </w:pPr>
      <w:r>
        <w:rPr>
          <w:rFonts w:ascii="Times New Roman" w:cs="Times New Roman" w:eastAsia="Times New Roman" w:hAnsi="Times New Roman"/>
          <w:sz w:val="19"/>
          <w:szCs w:val="19"/>
          <w:color w:val="auto"/>
        </w:rPr>
        <w:t xml:space="preserve">“This quarter we unveiled two new vehicles, Gogoro Pulse, our new flagship Smartscooter, and JEGO, our new well-equipped and affordable Smartscooter. JEGO is the result of our effort to design a mass-market vehicle that improves our vehicle economics. JEGO quickly generated strong interest from first-time electric vehicle buyers in Taiwan and totaled more than 5,000 backlog orders in the last few weeks of the first quarter, making it our most successful Smartscooter launch since the beginning of the pandemic,” </w:t>
      </w:r>
      <w:r>
        <w:rPr>
          <w:rFonts w:ascii="Times New Roman" w:cs="Times New Roman" w:eastAsia="Times New Roman" w:hAnsi="Times New Roman"/>
          <w:sz w:val="19"/>
          <w:szCs w:val="19"/>
          <w:b w:val="1"/>
          <w:bCs w:val="1"/>
          <w:color w:val="auto"/>
        </w:rPr>
        <w:t>said Horace Luke, chairman, founder,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and CEO of Gogoro. </w:t>
      </w:r>
      <w:r>
        <w:rPr>
          <w:rFonts w:ascii="Times New Roman" w:cs="Times New Roman" w:eastAsia="Times New Roman" w:hAnsi="Times New Roman"/>
          <w:sz w:val="19"/>
          <w:szCs w:val="19"/>
          <w:color w:val="auto"/>
        </w:rPr>
        <w:t>"We expect to recognize approximately $8.6 million in revenue associated with these first quarter backlog JEGO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orders when we deliver vehicles to customers from April onwards. We have established a strong product offering for 2024.”</w:t>
      </w:r>
    </w:p>
    <w:p>
      <w:pPr>
        <w:spacing w:after="0" w:line="192" w:lineRule="exact"/>
        <w:rPr>
          <w:sz w:val="20"/>
          <w:szCs w:val="20"/>
          <w:color w:val="auto"/>
        </w:rPr>
      </w:pPr>
    </w:p>
    <w:p>
      <w:pPr>
        <w:ind w:left="20" w:right="20" w:firstLine="6"/>
        <w:spacing w:after="0" w:line="282" w:lineRule="auto"/>
        <w:rPr>
          <w:sz w:val="20"/>
          <w:szCs w:val="20"/>
          <w:color w:val="auto"/>
        </w:rPr>
      </w:pPr>
      <w:r>
        <w:rPr>
          <w:rFonts w:ascii="Times New Roman" w:cs="Times New Roman" w:eastAsia="Times New Roman" w:hAnsi="Times New Roman"/>
          <w:sz w:val="20"/>
          <w:szCs w:val="20"/>
          <w:color w:val="auto"/>
        </w:rPr>
        <w:t xml:space="preserve">“We are strengthening our Taiwan business through key vehicle introductions, expansion of our retail and service center network and continuing to prioritize cost management as we carefully evaluate all investments for efficiency and returns. We are building out our new battery factory in India which is expected to start production in the second half of 2024 and we are continuing to deploy our battery swapping network in Delhi, India, as well as in the Philippines, South Korea, and adding Nepal as a new service area,” </w:t>
      </w:r>
      <w:r>
        <w:rPr>
          <w:rFonts w:ascii="Times New Roman" w:cs="Times New Roman" w:eastAsia="Times New Roman" w:hAnsi="Times New Roman"/>
          <w:sz w:val="20"/>
          <w:szCs w:val="20"/>
          <w:b w:val="1"/>
          <w:bCs w:val="1"/>
          <w:color w:val="auto"/>
        </w:rPr>
        <w:t>said Bruce Aitken, CFO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Gogoro. </w:t>
      </w:r>
      <w:r>
        <w:rPr>
          <w:rFonts w:ascii="Times New Roman" w:cs="Times New Roman" w:eastAsia="Times New Roman" w:hAnsi="Times New Roman"/>
          <w:sz w:val="20"/>
          <w:szCs w:val="20"/>
          <w:color w:val="auto"/>
        </w:rPr>
        <w:t>“In March 2024, we were recognized by Fast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Company Magazine as the most innovative company in Asia Pacific and 37th globally, a testament to our vision and innovation.”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2024 Financial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p>
      <w:pPr>
        <w:spacing w:after="0" w:line="193" w:lineRule="exact"/>
        <w:rPr>
          <w:sz w:val="20"/>
          <w:szCs w:val="20"/>
          <w:color w:val="auto"/>
        </w:rPr>
      </w:pPr>
    </w:p>
    <w:p>
      <w:pPr>
        <w:ind w:left="20" w:right="40"/>
        <w:spacing w:after="0" w:line="265" w:lineRule="auto"/>
        <w:rPr>
          <w:sz w:val="20"/>
          <w:szCs w:val="20"/>
          <w:color w:val="auto"/>
        </w:rPr>
      </w:pPr>
      <w:r>
        <w:rPr>
          <w:rFonts w:ascii="Times New Roman" w:cs="Times New Roman" w:eastAsia="Times New Roman" w:hAnsi="Times New Roman"/>
          <w:sz w:val="20"/>
          <w:szCs w:val="20"/>
          <w:color w:val="auto"/>
        </w:rPr>
        <w:t>For the first quarter, the total revenue was $69.7 million, down 12.1% year-over-year and down 9.0%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the same quarter last year, revenue would have been up by an additional $2.4 million. We had more than 5,000 backlog orders for JEGO in the first quarter with a total value of approximately $8.6 million. Customers have the right to cancel such orders prior to delivery. The large quantity of backlog orders is primarily the result of robust demand for JEGO, coupled with our need to balance manufacturing capacity across multiple vehicles and the need to balance our supply chain accordingly.</w:t>
      </w:r>
    </w:p>
    <w:p>
      <w:pPr>
        <w:spacing w:after="0" w:line="222" w:lineRule="exact"/>
        <w:rPr>
          <w:sz w:val="20"/>
          <w:szCs w:val="20"/>
          <w:color w:val="auto"/>
        </w:rPr>
      </w:pPr>
    </w:p>
    <w:p>
      <w:pPr>
        <w:ind w:left="660" w:right="40" w:hanging="328"/>
        <w:spacing w:after="0" w:line="260"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Battery swapping service revenue for the first quarter was $32.5 million, up 0.6% year-over-year, and up 4.1%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Total subscribers at the end of the first quarter exceeded 595,000, up 10.6% from 538,000 subscribers at the end of the same quarter last year. We provided rebates to some customers in the first quarter of 2024 associated with a minor vehicle recall and battery upgrades. Such rebates totaled $1.7 million and were accounted for as contra revenue.</w:t>
      </w:r>
    </w:p>
    <w:p>
      <w:pPr>
        <w:spacing w:after="0" w:line="169" w:lineRule="exact"/>
        <w:rPr>
          <w:rFonts w:ascii="Times New Roman" w:cs="Times New Roman" w:eastAsia="Times New Roman" w:hAnsi="Times New Roman"/>
          <w:sz w:val="20"/>
          <w:szCs w:val="20"/>
          <w:color w:val="auto"/>
        </w:rPr>
      </w:pPr>
    </w:p>
    <w:p>
      <w:pPr>
        <w:ind w:left="660" w:right="380"/>
        <w:spacing w:after="0" w:line="29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year-over-year increase in battery swapping service revenue was primarily due to our larger subscriber base compared to the same quarter last year and the high retention rate of our subscribers.</w:t>
      </w:r>
    </w:p>
    <w:p>
      <w:pPr>
        <w:spacing w:after="0" w:line="132" w:lineRule="exact"/>
        <w:rPr>
          <w:rFonts w:ascii="Times New Roman" w:cs="Times New Roman" w:eastAsia="Times New Roman" w:hAnsi="Times New Roman"/>
          <w:sz w:val="20"/>
          <w:szCs w:val="20"/>
          <w:color w:val="auto"/>
        </w:rPr>
      </w:pPr>
    </w:p>
    <w:p>
      <w:pPr>
        <w:ind w:left="660" w:right="140" w:hanging="328"/>
        <w:spacing w:after="0" w:line="262"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hardware and other revenues for the quarter were $37.2 million, down 20.8% year-over-year, and down 18.1%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JEGO backlog orders we received are not reflected in the vehicle registration data published by the Taiwan government for the first quarter, nor did Gogoro recognize any revenue for these vehicles, despite receiving full payment from customers or approved financing from third-party financing companies. Gogoro will account for the vehicle revenue upon delivery to customers.</w:t>
      </w:r>
    </w:p>
    <w:p>
      <w:pPr>
        <w:spacing w:after="0" w:line="166" w:lineRule="exact"/>
        <w:rPr>
          <w:rFonts w:ascii="Times New Roman" w:cs="Times New Roman" w:eastAsia="Times New Roman" w:hAnsi="Times New Roman"/>
          <w:sz w:val="20"/>
          <w:szCs w:val="20"/>
          <w:color w:val="auto"/>
        </w:rPr>
      </w:pPr>
    </w:p>
    <w:p>
      <w:pPr>
        <w:ind w:left="660" w:right="120" w:hanging="328"/>
        <w:spacing w:after="0" w:line="282"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government-reported registration volume of powered two-wheelers ("PTW") in the Taiwan market in the first quarter was down 11.2% year-over-year. While registrations of electric PTW were reported to be down by 39.0% compared to the same quarter last year, had we delivered the outstanding orders of JEGO, electric PTW registrations would have declined by 7.5% instead, representing a smaller decline compared to the overall PTW market.</w:t>
      </w:r>
    </w:p>
    <w:p>
      <w:pPr>
        <w:spacing w:after="0" w:line="147" w:lineRule="exact"/>
        <w:rPr>
          <w:rFonts w:ascii="Times New Roman" w:cs="Times New Roman" w:eastAsia="Times New Roman" w:hAnsi="Times New Roman"/>
          <w:sz w:val="20"/>
          <w:szCs w:val="20"/>
          <w:color w:val="auto"/>
        </w:rPr>
      </w:pPr>
    </w:p>
    <w:p>
      <w:pPr>
        <w:ind w:left="660" w:right="100" w:hanging="328"/>
        <w:spacing w:after="0" w:line="282"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Taiwan's two largest PTW manufacturers are publicly estimating that the total PTW market will shrink by 14% from last year's 870,000 units to around 750,000 units in 2024. Gogoro continues to believe that the total volume of electric PTW in Taiwan will see growth in 2024 as a result of the introduction of our new vehicle models, and the ongoing consumer transition from traditional internal combustion engine vehicles to electric PTW.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193"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20"/>
          <w:szCs w:val="20"/>
          <w:color w:val="auto"/>
        </w:rPr>
        <w:t>For the first quarter, gross margin was 6.4%, down from 12.9% in the same quarter last year while non-IFRS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13.3%, down from 13.7% in the same quarter last year. Such declines were primarily driven by a combination of factors: (i) a $2.8 million derecognition expenses on components removed from the battery pack and retrieval cost associated with our battery upgrade initiatives, (ii) a $1.7 million voluntary one-time battery swapping service rebate that was accounted for as contra revenue, and (iii) a $0.8 million increase in depreciation and other costs associated with our new overseas production facilities. These impacts, when combined, account for the 6.5% decline in gross margin. Both declines in gross margin and non-IFRS gross margin were partially offset by cost efficiencies generated from our continuous improvements in operational efficiency in Gogoro's battery swapping services.</w:t>
      </w:r>
    </w:p>
    <w:p>
      <w:pPr>
        <w:spacing w:after="0" w:line="218"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We are carrying out one-time, voluntary upgrades on certain battery packs which are expected to take several quarters to complete. These upgrades provide multiple benefits — reduction of capital expenditures on replacing battery packs, increasing lifetime capacity of each battery pack (including extending its first mobility use-case useful life) and solidifying the extra lifetime capacity of each battery pack to validate our second-life thesis. These upgrades are expected to create economic benefits in the long run, but do come at a short-term reduction in our gross margin as we carry out the upgrades. We expect our IFRS gross margin will continue to be impacted during our upgrades planned in 2024 and 2025. The upgrades will impact both our cash position and profit. We will only upgrade battery packs in instances where the value created over time exceeds the cost of the upgrade.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193"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9"/>
          <w:szCs w:val="19"/>
          <w:color w:val="auto"/>
        </w:rPr>
        <w:t>For the first quarter, net loss was $13.1 million, representing a decrease of $27.5 million from a net loss of $40.6 million in the same quarter last year. The decrease in net loss was due to a favorable change of $31.7 million in the fair value of financial liabilities associated with outstanding earnout shares, earn-in shares and warrants compared to the same quarter last year as a result of the decrease of Gogoro stock price and the decrease of $2.7 million in operating expenses, which was partially offset by the decrease of $5.8 million in gross profit.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22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For the first quarter,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$9.0 million, representing a decrease of $1.6 million from $10.6 million in the same quarter last year. The decrease was primarily due to a $1.6 million decrease in non-IFRS gross profit compared to the same quarter last year. The $1.6 million decrease in non-IFRS gross profit was a result of the cumulative effect of the factors mentioned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47" w:lineRule="exact"/>
        <w:rPr>
          <w:sz w:val="20"/>
          <w:szCs w:val="20"/>
          <w:color w:val="auto"/>
        </w:rPr>
      </w:pPr>
    </w:p>
    <w:p>
      <w:pPr>
        <w:ind w:left="20" w:right="620"/>
        <w:spacing w:after="0" w:line="311" w:lineRule="auto"/>
        <w:rPr>
          <w:sz w:val="20"/>
          <w:szCs w:val="20"/>
          <w:color w:val="auto"/>
        </w:rPr>
      </w:pPr>
      <w:r>
        <w:rPr>
          <w:rFonts w:ascii="Times New Roman" w:cs="Times New Roman" w:eastAsia="Times New Roman" w:hAnsi="Times New Roman"/>
          <w:sz w:val="20"/>
          <w:szCs w:val="20"/>
          <w:color w:val="auto"/>
        </w:rPr>
        <w:t>With a $132.5 million cash balance at the end of the first quarter of 2024 and the additional credit facilities that are available to us, we believe we have sufficient sources of funding to meet our near-term business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right="420" w:hanging="107"/>
        <w:spacing w:after="0" w:line="197" w:lineRule="auto"/>
        <w:tabs>
          <w:tab w:leader="none" w:pos="196"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 xml:space="preserve">This is a non-IFRS measure, see </w:t>
      </w:r>
      <w:r>
        <w:rPr>
          <w:rFonts w:ascii="Times New Roman" w:cs="Times New Roman" w:eastAsia="Times New Roman" w:hAnsi="Times New Roman"/>
          <w:sz w:val="14"/>
          <w:szCs w:val="14"/>
          <w:b w:val="1"/>
          <w:bCs w:val="1"/>
          <w:color w:val="auto"/>
        </w:rPr>
        <w:t>Use of Non-IFRS Financial Measures</w:t>
      </w:r>
      <w:r>
        <w:rPr>
          <w:rFonts w:ascii="Times New Roman" w:cs="Times New Roman" w:eastAsia="Times New Roman" w:hAnsi="Times New Roman"/>
          <w:sz w:val="14"/>
          <w:szCs w:val="14"/>
          <w:color w:val="auto"/>
        </w:rPr>
        <w:t xml:space="preserve"> for a description of the non-IFRS measures and </w:t>
      </w:r>
      <w:r>
        <w:rPr>
          <w:rFonts w:ascii="Times New Roman" w:cs="Times New Roman" w:eastAsia="Times New Roman" w:hAnsi="Times New Roman"/>
          <w:sz w:val="14"/>
          <w:szCs w:val="14"/>
          <w:b w:val="1"/>
          <w:bCs w:val="1"/>
          <w:color w:val="auto"/>
        </w:rPr>
        <w:t>Reconciliation of IFRS Financial Metrics to Non-IFRS</w:t>
      </w:r>
      <w:r>
        <w:rPr>
          <w:rFonts w:ascii="Times New Roman" w:cs="Times New Roman" w:eastAsia="Times New Roman" w:hAnsi="Times New Roman"/>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Guidance</w:t>
      </w:r>
    </w:p>
    <w:p>
      <w:pPr>
        <w:spacing w:after="0" w:line="247"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20"/>
          <w:szCs w:val="20"/>
          <w:color w:val="auto"/>
        </w:rPr>
        <w:t>For the full year of 2024, we continue to expect to generate revenue of $385 million to $420 million. While our first quarter revenue was lower than that in previous years, we believe that the typical seasonal volume increases in the remainder of the year as well as the volume of backlog orders for JEGO that are yet to be delivered and preorders for Pulse allow us to remain confident in these forecasts.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Conference Call Information</w:t>
      </w:r>
    </w:p>
    <w:p>
      <w:pPr>
        <w:spacing w:after="0" w:line="247"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20"/>
          <w:szCs w:val="20"/>
          <w:color w:val="auto"/>
        </w:rPr>
        <w:t>Gogoro's management team will hold an earnings Webcast on May 9th, 2024, at 8:00 a.m. Eastern Time to discuss the Company's first quarter 2024 results of operations and outlook.</w:t>
      </w:r>
    </w:p>
    <w:p>
      <w:pPr>
        <w:spacing w:after="0" w:line="18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20"/>
          <w:szCs w:val="20"/>
          <w:color w:val="auto"/>
        </w:rPr>
        <w:t xml:space="preserve">Investors may access the webcast, supplemental financial information and investor presentation at Gogoro’s investor relations website </w:t>
      </w:r>
      <w:r>
        <w:rPr>
          <w:rFonts w:ascii="Times New Roman" w:cs="Times New Roman" w:eastAsia="Times New Roman" w:hAnsi="Times New Roman"/>
          <w:sz w:val="20"/>
          <w:szCs w:val="20"/>
          <w:color w:val="0000FF"/>
        </w:rPr>
        <w:t xml:space="preserve">(https://investor.gogoro.com) </w:t>
      </w:r>
      <w:r>
        <w:rPr>
          <w:rFonts w:ascii="Times New Roman" w:cs="Times New Roman" w:eastAsia="Times New Roman" w:hAnsi="Times New Roman"/>
          <w:sz w:val="20"/>
          <w:szCs w:val="20"/>
          <w:color w:val="000000"/>
        </w:rPr>
        <w:t>under the “Events” section. A replay of the investor presentation and the earnings call script will be available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24 hours after the conclusion of the webcast and archived for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About Gogoro</w:t>
      </w:r>
    </w:p>
    <w:p>
      <w:pPr>
        <w:spacing w:after="0" w:line="23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color w:val="auto"/>
        </w:rPr>
        <w:t xml:space="preserve">Founded in 2011 to rethink urban energy and inspire the world to move through cities in smarter and more sustainable ways, Gogoro leverages the power of innovation to change the way urban energy is distributed and consumed. Recognized and awarded by Frost &amp; Sullivan as the “2023 Global Company of the Year for battery swapping for electric two-wheel vehicles” and MIT Technology Review as one of “15 Climate Tech Companies to Watch” in 2023,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 </w:t>
      </w:r>
      <w:r>
        <w:rPr>
          <w:rFonts w:ascii="Times New Roman" w:cs="Times New Roman" w:eastAsia="Times New Roman" w:hAnsi="Times New Roman"/>
          <w:sz w:val="20"/>
          <w:szCs w:val="20"/>
          <w:color w:val="0000FF"/>
        </w:rPr>
        <w:t xml:space="preserve">https://www.gogoro.com/news </w:t>
      </w:r>
      <w:r>
        <w:rPr>
          <w:rFonts w:ascii="Times New Roman" w:cs="Times New Roman" w:eastAsia="Times New Roman" w:hAnsi="Times New Roman"/>
          <w:sz w:val="20"/>
          <w:szCs w:val="20"/>
          <w:color w:val="000000"/>
        </w:rPr>
        <w:t>and follow Gogoro on Twitter:</w:t>
      </w:r>
      <w:r>
        <w:rPr>
          <w:rFonts w:ascii="Times New Roman" w:cs="Times New Roman" w:eastAsia="Times New Roman" w:hAnsi="Times New Roman"/>
          <w:sz w:val="20"/>
          <w:szCs w:val="20"/>
          <w:color w:val="0000FF"/>
        </w:rPr>
        <w:t xml:space="preserve"> @wearegogoro</w:t>
      </w:r>
      <w:r>
        <w:rPr>
          <w:rFonts w:ascii="Times New Roman" w:cs="Times New Roman" w:eastAsia="Times New Roman" w:hAnsi="Times New Roman"/>
          <w:sz w:val="20"/>
          <w:szCs w:val="20"/>
          <w:color w:val="000000"/>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Forward-Looking Statements</w:t>
      </w:r>
    </w:p>
    <w:p>
      <w:pPr>
        <w:spacing w:after="0" w:line="23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"2024 Guidance," such as estimates regarding revenue and Gogoro's revenue generated from the Taiwan market, and statements by Gogoro's founder, chairman, and chief executive officer and Gogoro's chief financial officer, such as projections of market opportunity and market share, the delivery of vehicles in the coming quarter, the revenue associated with the delivery of new vehicle models and Gogoro’s business plans including its plans to grow and expand in Taiwan 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color w:val="auto"/>
        </w:rPr>
        <w:t xml:space="preserve">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2023, which was filed on March 29, 2024 and in its subsequent filings with the SEC, copies of which are available on the SEC's website at </w:t>
      </w:r>
      <w:r>
        <w:rPr>
          <w:rFonts w:ascii="Times New Roman" w:cs="Times New Roman" w:eastAsia="Times New Roman" w:hAnsi="Times New Roman"/>
          <w:sz w:val="20"/>
          <w:szCs w:val="20"/>
          <w:color w:val="0000FF"/>
        </w:rPr>
        <w:t>www.sec.gov</w:t>
      </w:r>
      <w:r>
        <w:rPr>
          <w:rFonts w:ascii="Times New Roman" w:cs="Times New Roman" w:eastAsia="Times New Roman" w:hAnsi="Times New Roman"/>
          <w:sz w:val="20"/>
          <w:szCs w:val="20"/>
          <w:color w:val="000000"/>
        </w:rPr>
        <w:t>. The forward-looking statements in this communication are based on information available to Gogoro as of the date hereof,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Gogoro disclaims any obligation to update any forward-looking statements, except as required by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28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0"/>
          <w:szCs w:val="20"/>
          <w:color w:val="auto"/>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for the full year ended December 31, 2024 will be included in the Company's Annual Report on Form 20-F for the year ended December 31, 2024. Accordingly, these condensed consolidated financial statements should be read in conjunction with the audited consolidated financial statements and related notes for the year ended December 31, 2023 included in the Company’s Annual Report on Form 20-F filed with the SEC on March 29, 2024,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 Orders</w:t>
      </w:r>
    </w:p>
    <w:p>
      <w:pPr>
        <w:spacing w:after="0" w:line="27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20"/>
          <w:szCs w:val="20"/>
          <w:color w:val="auto"/>
        </w:rPr>
        <w:t>Backlog orders are not recognized as revenue in our Condensed Consolidated Statement of Comprehensive Loss until we deliver a vehicle to the buyer. The backlog orders are recorded as contract liabilities and the portion associated with financing receivable would be net against account receivables in our Condensed Consolidated Balance Sheet. Backlog value is estimated based on manufacturer's suggested retail price net off associated sales incentives.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87"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non-IFRS financial measures including foreign exchange effect on operating revenues, non-IFRS gross profit, non-IFRS gross margin, Non-IFRS Net Loss, EBITDA and Adjusted EBITDA.</w:t>
      </w:r>
    </w:p>
    <w:p>
      <w:pPr>
        <w:spacing w:after="0" w:line="19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Foreign exchange ("FX") effect on operating revenues. </w:t>
      </w:r>
      <w:r>
        <w:rPr>
          <w:rFonts w:ascii="Times New Roman" w:cs="Times New Roman" w:eastAsia="Times New Roman" w:hAnsi="Times New Roman"/>
          <w:sz w:val="20"/>
          <w:szCs w:val="20"/>
          <w:color w:val="auto"/>
        </w:rPr>
        <w:t>We compare the dollar amount and the percent change in the operating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202" w:lineRule="exact"/>
        <w:rPr>
          <w:sz w:val="20"/>
          <w:szCs w:val="20"/>
          <w:color w:val="auto"/>
        </w:rPr>
      </w:pPr>
    </w:p>
    <w:p>
      <w:pPr>
        <w:ind w:right="58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Non-IFRS Gross Profit and Gross Margin. </w:t>
      </w:r>
      <w:r>
        <w:rPr>
          <w:rFonts w:ascii="Times New Roman" w:cs="Times New Roman" w:eastAsia="Times New Roman" w:hAnsi="Times New Roman"/>
          <w:sz w:val="20"/>
          <w:szCs w:val="20"/>
          <w:color w:val="auto"/>
        </w:rPr>
        <w:t>Gogoro defines non-IFRS gross profit and gross margin as gross profit and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share-based compensation, battery upgrade initiatives and battery swapping service rebate.</w:t>
      </w:r>
    </w:p>
    <w:p>
      <w:pPr>
        <w:spacing w:after="0" w:line="16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Share-based Compensation. </w:t>
      </w:r>
      <w:r>
        <w:rPr>
          <w:rFonts w:ascii="Times New Roman" w:cs="Times New Roman" w:eastAsia="Times New Roman" w:hAnsi="Times New Roman"/>
          <w:sz w:val="20"/>
          <w:szCs w:val="20"/>
          <w:color w:val="auto"/>
        </w:rPr>
        <w:t>Share-based compensation consists of non-cash charges related to the fair value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spacing w:after="0" w:line="129"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Non-IFRS Net Loss. </w:t>
      </w:r>
      <w:r>
        <w:rPr>
          <w:rFonts w:ascii="Times New Roman" w:cs="Times New Roman" w:eastAsia="Times New Roman" w:hAnsi="Times New Roman"/>
          <w:sz w:val="20"/>
          <w:szCs w:val="20"/>
          <w:color w:val="auto"/>
        </w:rPr>
        <w:t>Gogoro defines non-IFRS net loss as net loss excluding share-based compensation, the change in fair value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depreciation, and amortization.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do not reflect the impact of any related tax effects.</w:t>
      </w:r>
    </w:p>
    <w:p>
      <w:pPr>
        <w:spacing w:after="0" w:line="266" w:lineRule="exact"/>
        <w:rPr>
          <w:sz w:val="20"/>
          <w:szCs w:val="20"/>
          <w:color w:val="auto"/>
        </w:rPr>
      </w:pPr>
    </w:p>
    <w:p>
      <w:pPr>
        <w:jc w:val="both"/>
        <w:ind w:right="600"/>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Adjusted EBITDA. </w:t>
      </w:r>
      <w:r>
        <w:rPr>
          <w:rFonts w:ascii="Times New Roman" w:cs="Times New Roman" w:eastAsia="Times New Roman" w:hAnsi="Times New Roman"/>
          <w:sz w:val="19"/>
          <w:szCs w:val="19"/>
          <w:color w:val="auto"/>
        </w:rPr>
        <w:t>Gogoro defines Adjusted EBITDA as EBITDA excluding share-based compensation, the change in fair value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Battery Upgrade Initiatives. </w:t>
      </w:r>
      <w:r>
        <w:rPr>
          <w:rFonts w:ascii="Times New Roman" w:cs="Times New Roman" w:eastAsia="Times New Roman" w:hAnsi="Times New Roman"/>
          <w:sz w:val="20"/>
          <w:szCs w:val="20"/>
          <w:color w:val="auto"/>
        </w:rPr>
        <w:t>As we perform certain voluntary upgrades to our battery packs, this charge represents the (i) derecognition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on components removed from the battery pack, which we do not expect to generate any future benefits from its disposal and (ii) battery pack retrieval and other costs. We will only upgrade battery packs in instances where the value created exceeds the cost of the upgrade. The program will improve batteries' capacity and extend the remaining useful life of certain battery packs. The derecognition expense and the retrieval and 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and retrieval and other costs to recur in future periods as incurred during the implementation phase of the battery upgrade program.</w:t>
      </w:r>
    </w:p>
    <w:p>
      <w:pPr>
        <w:spacing w:after="0" w:line="217" w:lineRule="exact"/>
        <w:rPr>
          <w:sz w:val="20"/>
          <w:szCs w:val="20"/>
          <w:color w:val="auto"/>
        </w:rPr>
      </w:pPr>
    </w:p>
    <w:p>
      <w:pPr>
        <w:ind w:left="20" w:right="30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Battery Swapping Service Rebate. </w:t>
      </w:r>
      <w:r>
        <w:rPr>
          <w:rFonts w:ascii="Times New Roman" w:cs="Times New Roman" w:eastAsia="Times New Roman" w:hAnsi="Times New Roman"/>
          <w:sz w:val="20"/>
          <w:szCs w:val="20"/>
          <w:color w:val="auto"/>
        </w:rPr>
        <w:t>We voluntarily offered one-time subscription fee discounts to certain subscribers of Gogoro Network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spacing w:after="0" w:line="20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interest expense, income tax, depreciation and amortization, change in fair value of financial liabilities associated with outstanding earnout shares, earn-in shares and warrants associated with the merger of Poema, battery upgrade initiative and battery swapping service rebate.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1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Non-IFRS financial measures are not meant to be considered in isolation or as a substitute for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240"/>
          </w:cols>
          <w:pgMar w:left="320" w:top="100" w:right="33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320" w:space="720"/>
            <w:col w:w="5200"/>
          </w:cols>
          <w:pgMar w:left="320" w:top="1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Jason Gordon, Gogoro</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 (206) 778-7245</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Times New Roman" w:cs="Times New Roman" w:eastAsia="Times New Roman" w:hAnsi="Times New Roman"/>
          <w:sz w:val="19"/>
          <w:szCs w:val="19"/>
          <w:color w:val="auto"/>
        </w:rPr>
        <w:t>ir@gogoro.com</w:t>
      </w:r>
    </w:p>
    <w:p>
      <w:pPr>
        <w:spacing w:after="0" w:line="361" w:lineRule="exact"/>
        <w:rPr>
          <w:sz w:val="20"/>
          <w:szCs w:val="20"/>
          <w:color w:val="auto"/>
        </w:rPr>
      </w:pPr>
    </w:p>
    <w:p>
      <w:pPr>
        <w:sectPr>
          <w:pgSz w:w="11900" w:h="16838" w:orient="portrait"/>
          <w:cols w:equalWidth="0" w:num="2">
            <w:col w:w="5320" w:space="720"/>
            <w:col w:w="5200"/>
          </w:cols>
          <w:pgMar w:left="320" w:top="1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jason.gordon@gogoro.com</w:t>
      </w:r>
    </w:p>
    <w:p>
      <w:pPr>
        <w:sectPr>
          <w:pgSz w:w="11900" w:h="16838" w:orient="portrait"/>
          <w:cols w:equalWidth="0" w:num="1">
            <w:col w:w="1124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0" w:right="3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2</w:t>
      </w: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132,514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173,885</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receivables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17,135</w:t>
            </w:r>
          </w:p>
        </w:tc>
      </w:tr>
      <w:tr>
        <w:trPr>
          <w:trHeight w:val="219"/>
        </w:trPr>
        <w:tc>
          <w:tcPr>
            <w:tcW w:w="71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53,109</w:t>
            </w:r>
          </w:p>
        </w:tc>
      </w:tr>
      <w:tr>
        <w:trPr>
          <w:trHeight w:val="21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assets, current</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22,009</w:t>
            </w:r>
          </w:p>
        </w:tc>
      </w:tr>
      <w:tr>
        <w:trPr>
          <w:trHeight w:val="20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229,663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266,138</w:t>
            </w:r>
          </w:p>
        </w:tc>
      </w:tr>
      <w:tr>
        <w:trPr>
          <w:trHeight w:val="239"/>
        </w:trPr>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Property, plant and equipment</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492,631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501,876</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accounted for using equity method</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17,741</w:t>
            </w: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30,412</w:t>
            </w: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18,063</w:t>
            </w:r>
          </w:p>
        </w:tc>
      </w:tr>
      <w:tr>
        <w:trPr>
          <w:trHeight w:val="237"/>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779,879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834,230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Borrowings, current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75,590</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Financial liabilities at fair value through profit or loss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30,832</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Notes and trade payables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38,117</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11,606</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11,296</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Provisions, current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 current</w:t>
            </w: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35,249</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42,439</w:t>
            </w:r>
          </w:p>
        </w:tc>
      </w:tr>
      <w:tr>
        <w:trPr>
          <w:trHeight w:val="207"/>
        </w:trPr>
        <w:tc>
          <w:tcPr>
            <w:tcW w:w="7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203,127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214,054</w:t>
            </w:r>
          </w:p>
        </w:tc>
      </w:tr>
      <w:tr>
        <w:trPr>
          <w:trHeight w:val="239"/>
        </w:trPr>
        <w:tc>
          <w:tcPr>
            <w:tcW w:w="7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non-current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334,581</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18,842</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Provisions, non-current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15,734</w:t>
            </w:r>
          </w:p>
        </w:tc>
      </w:tr>
      <w:tr>
        <w:trPr>
          <w:trHeight w:val="207"/>
        </w:trPr>
        <w:tc>
          <w:tcPr>
            <w:tcW w:w="7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549,260</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585,543</w:t>
            </w:r>
          </w:p>
        </w:tc>
      </w:tr>
      <w:tr>
        <w:trPr>
          <w:trHeight w:val="199"/>
        </w:trPr>
        <w:tc>
          <w:tcPr>
            <w:tcW w:w="7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230,619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248,687</w:t>
            </w:r>
          </w:p>
        </w:tc>
      </w:tr>
      <w:tr>
        <w:trPr>
          <w:trHeight w:val="237"/>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779,879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834,230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Raw materials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33,136</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Semi-finished goods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1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Merchandise</w:t>
            </w: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16,414</w:t>
            </w:r>
          </w:p>
        </w:tc>
      </w:tr>
      <w:tr>
        <w:trPr>
          <w:trHeight w:val="237"/>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56,462</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180340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62" w:lineRule="exact"/>
        <w:rPr>
          <w:sz w:val="20"/>
          <w:szCs w:val="20"/>
          <w:color w:val="auto"/>
        </w:rPr>
      </w:pPr>
    </w:p>
    <w:p>
      <w:pPr>
        <w:ind w:left="120" w:right="200" w:hanging="107"/>
        <w:spacing w:after="0" w:line="212" w:lineRule="auto"/>
        <w:tabs>
          <w:tab w:leader="none" w:pos="12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At March 31, 2024 and December 31, 2023, the company classified $32.0 million and $37.4 million, respectively of undeployed battery packs and related battery cells in property, plant and equipment based on the company's deployment plan for the next 12 months.</w:t>
      </w:r>
    </w:p>
    <w:p>
      <w:pPr>
        <w:sectPr>
          <w:pgSz w:w="11900" w:h="16838" w:orient="portrait"/>
          <w:cols w:equalWidth="0" w:num="1">
            <w:col w:w="11180"/>
          </w:cols>
          <w:pgMar w:left="38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80"/>
          </w:cols>
          <w:pgMar w:left="380" w:top="100"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(in thousands of U.S. dollars, except net loss per share)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0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0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65,238</w:t>
            </w: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69,058</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11,843</w:t>
            </w:r>
          </w:p>
        </w:tc>
        <w:tc>
          <w:tcPr>
            <w:tcW w:w="0" w:type="dxa"/>
            <w:vAlign w:val="bottom"/>
          </w:tcPr>
          <w:p>
            <w:pPr>
              <w:spacing w:after="0"/>
              <w:rPr>
                <w:sz w:val="1"/>
                <w:szCs w:val="1"/>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29,770</w:t>
            </w:r>
          </w:p>
        </w:tc>
        <w:tc>
          <w:tcPr>
            <w:tcW w:w="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32,495</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(25,297)</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(22,234)</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income (expenses):</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0" w:type="dxa"/>
            <w:vAlign w:val="bottom"/>
          </w:tcPr>
          <w:p>
            <w:pPr>
              <w:spacing w:after="0"/>
              <w:rPr>
                <w:sz w:val="1"/>
                <w:szCs w:val="1"/>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of loss of investments accounted for using equity method</w:t>
            </w: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non-operating incomes (expenses)</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(18,386)</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(13,127)</w:t>
            </w:r>
          </w:p>
        </w:tc>
        <w:tc>
          <w:tcPr>
            <w:tcW w:w="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(40,620)</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Exchange differences on translation</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w:t>
            </w:r>
          </w:p>
        </w:tc>
        <w:tc>
          <w:tcPr>
            <w:tcW w:w="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0" w:type="dxa"/>
            <w:vAlign w:val="bottom"/>
          </w:tcPr>
          <w:p>
            <w:pPr>
              <w:spacing w:after="0"/>
              <w:rPr>
                <w:sz w:val="1"/>
                <w:szCs w:val="1"/>
                <w:color w:val="auto"/>
              </w:rPr>
            </w:pP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(21,446)</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basic and diluted net loss per share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235,942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232,190</w:t>
            </w:r>
          </w:p>
        </w:tc>
        <w:tc>
          <w:tcPr>
            <w:tcW w:w="0" w:type="dxa"/>
            <w:vAlign w:val="bottom"/>
          </w:tcPr>
          <w:p>
            <w:pPr>
              <w:spacing w:after="0"/>
              <w:rPr>
                <w:sz w:val="1"/>
                <w:szCs w:val="1"/>
                <w:color w:val="auto"/>
              </w:rPr>
            </w:pPr>
          </w:p>
        </w:tc>
      </w:tr>
      <w:tr>
        <w:trPr>
          <w:trHeight w:val="328"/>
        </w:trPr>
        <w:tc>
          <w:tcPr>
            <w:tcW w:w="7000" w:type="dxa"/>
            <w:vAlign w:val="bottom"/>
          </w:tcPr>
          <w:p>
            <w:pPr>
              <w:spacing w:after="0"/>
              <w:rPr>
                <w:sz w:val="24"/>
                <w:szCs w:val="24"/>
                <w:color w:val="auto"/>
              </w:rPr>
            </w:pPr>
          </w:p>
        </w:tc>
        <w:tc>
          <w:tcPr>
            <w:tcW w:w="32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0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of hardware and others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47,056</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Battery swapping service</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32,453</w:t>
            </w: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32,263</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revenues</w:t>
            </w: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69,711</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000" w:type="dxa"/>
            <w:vAlign w:val="bottom"/>
          </w:tcPr>
          <w:p>
            <w:pPr>
              <w:spacing w:after="0"/>
              <w:rPr>
                <w:sz w:val="23"/>
                <w:szCs w:val="23"/>
                <w:color w:val="auto"/>
              </w:rPr>
            </w:pPr>
          </w:p>
        </w:tc>
        <w:tc>
          <w:tcPr>
            <w:tcW w:w="32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0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460" w:top="1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1340" w:type="dxa"/>
            <w:vAlign w:val="bottom"/>
            <w:tcBorders>
              <w:bottom w:val="single" w:sz="8" w:color="auto"/>
            </w:tcBorders>
          </w:tcPr>
          <w:p>
            <w:pPr>
              <w:spacing w:after="0"/>
              <w:rPr>
                <w:sz w:val="18"/>
                <w:szCs w:val="18"/>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(13,127)</w:t>
            </w:r>
          </w:p>
        </w:tc>
        <w:tc>
          <w:tcPr>
            <w:tcW w:w="2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(40,620)</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24,675</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credit loss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of loss of investments accounted for using equity method</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 net</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 of inventories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Reversal of provisions for product warranty</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(18,243)</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and trade payables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Provisions for product warranty</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generated from (used in) operations</w:t>
            </w:r>
          </w:p>
        </w:tc>
        <w:tc>
          <w:tcPr>
            <w:tcW w:w="1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(12,846)</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and tax paid, net</w:t>
            </w:r>
          </w:p>
        </w:tc>
        <w:tc>
          <w:tcPr>
            <w:tcW w:w="1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12"/>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generated from (used in) operating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(14,735)</w:t>
            </w:r>
          </w:p>
        </w:tc>
      </w:tr>
      <w:tr>
        <w:trPr>
          <w:trHeight w:val="19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property, plant and equipment, net</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refundable deposits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acquisitions of investments accounted for using equity method</w:t>
            </w:r>
          </w:p>
        </w:tc>
        <w:tc>
          <w:tcPr>
            <w:tcW w:w="1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(16,351)</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intangible assets, net</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other financial assets</w:t>
            </w:r>
          </w:p>
        </w:tc>
        <w:tc>
          <w:tcPr>
            <w:tcW w:w="1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07"/>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(34,774)</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(34,557)</w:t>
            </w: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12,436</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borrowings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(30,093)</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 from issuance of shares</w:t>
            </w:r>
          </w:p>
        </w:tc>
        <w:tc>
          <w:tcPr>
            <w:tcW w:w="1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Guarantee deposits refund</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Repayment of the principal portion of lease liabilities</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w:t>
            </w:r>
          </w:p>
        </w:tc>
      </w:tr>
      <w:tr>
        <w:trPr>
          <w:trHeight w:val="212"/>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(20,799)</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(69,018)</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173,885</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236,100</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132,514</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20" w:type="dxa"/>
            <w:vAlign w:val="bottom"/>
          </w:tcPr>
          <w:p>
            <w:pPr>
              <w:spacing w:after="0"/>
              <w:rPr>
                <w:sz w:val="16"/>
                <w:szCs w:val="16"/>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Capital Surplus</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Difference on</w:t>
            </w:r>
          </w:p>
        </w:tc>
        <w:tc>
          <w:tcPr>
            <w:tcW w:w="140" w:type="dxa"/>
            <w:vAlign w:val="bottom"/>
          </w:tcPr>
          <w:p>
            <w:pPr>
              <w:spacing w:after="0"/>
              <w:rPr>
                <w:sz w:val="16"/>
                <w:szCs w:val="16"/>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Deficits</w:t>
            </w:r>
          </w:p>
        </w:tc>
        <w:tc>
          <w:tcPr>
            <w:tcW w:w="10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4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248,687</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for the three months ended March 31, 2024</w:t>
            </w:r>
          </w:p>
        </w:tc>
        <w:tc>
          <w:tcPr>
            <w:tcW w:w="5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(13,127)</w:t>
            </w: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Other comprehensive loss for the three months ended</w:t>
            </w:r>
          </w:p>
        </w:tc>
        <w:tc>
          <w:tcPr>
            <w:tcW w:w="5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(8,319)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(8,319)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March 31, 2024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Shared-based compensation</w:t>
            </w:r>
          </w:p>
        </w:tc>
        <w:tc>
          <w:tcPr>
            <w:tcW w:w="5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54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230,619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60" w:top="1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GOGORO INC.</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80" w:type="dxa"/>
            <w:vAlign w:val="bottom"/>
            <w:gridSpan w:val="9"/>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Reconciliation of IFRS Financial Metrics to Non-IFRS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540"/>
              <w:spacing w:after="0" w:line="175" w:lineRule="exact"/>
              <w:rPr>
                <w:sz w:val="20"/>
                <w:szCs w:val="20"/>
                <w:color w:val="auto"/>
              </w:rPr>
            </w:pPr>
            <w:r>
              <w:rPr>
                <w:rFonts w:ascii="Times New Roman" w:cs="Times New Roman" w:eastAsia="Times New Roman" w:hAnsi="Times New Roman"/>
                <w:sz w:val="16"/>
                <w:szCs w:val="16"/>
                <w:i w:val="1"/>
                <w:iCs w:val="1"/>
                <w:color w:val="auto"/>
              </w:rPr>
              <w:t>(unaudited)</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Revenue excluding FX</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IFRS revenue</w:t>
            </w:r>
          </w:p>
        </w:tc>
        <w:tc>
          <w:tcPr>
            <w:tcW w:w="14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Revenue excluding</w:t>
            </w:r>
          </w:p>
        </w:tc>
        <w:tc>
          <w:tcPr>
            <w:tcW w:w="0" w:type="dxa"/>
            <w:vAlign w:val="bottom"/>
          </w:tcPr>
          <w:p>
            <w:pPr>
              <w:spacing w:after="0"/>
              <w:rPr>
                <w:sz w:val="1"/>
                <w:szCs w:val="1"/>
                <w:color w:val="auto"/>
              </w:rPr>
            </w:pPr>
          </w:p>
        </w:tc>
      </w:tr>
      <w:tr>
        <w:trPr>
          <w:trHeight w:val="162"/>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4"/>
                <w:szCs w:val="14"/>
                <w:color w:val="auto"/>
              </w:rPr>
            </w:pPr>
          </w:p>
        </w:tc>
        <w:tc>
          <w:tcPr>
            <w:tcW w:w="11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IFRS revenue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FX effect</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IFRS revenue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FX effect YoY</w:t>
            </w:r>
          </w:p>
        </w:tc>
        <w:tc>
          <w:tcPr>
            <w:tcW w:w="0" w:type="dxa"/>
            <w:vAlign w:val="bottom"/>
          </w:tcPr>
          <w:p>
            <w:pPr>
              <w:spacing w:after="0"/>
              <w:rPr>
                <w:sz w:val="1"/>
                <w:szCs w:val="1"/>
                <w:color w:val="auto"/>
              </w:rPr>
            </w:pPr>
          </w:p>
        </w:tc>
      </w:tr>
      <w:tr>
        <w:trPr>
          <w:trHeight w:val="214"/>
        </w:trPr>
        <w:tc>
          <w:tcPr>
            <w:tcW w:w="2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effect</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YoY change %</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0" w:type="dxa"/>
            <w:vAlign w:val="bottom"/>
          </w:tcPr>
          <w:p>
            <w:pPr>
              <w:spacing w:after="0"/>
              <w:rPr>
                <w:sz w:val="1"/>
                <w:szCs w:val="1"/>
                <w:color w:val="auto"/>
              </w:rPr>
            </w:pPr>
          </w:p>
        </w:tc>
      </w:tr>
      <w:tr>
        <w:trPr>
          <w:trHeight w:val="211"/>
        </w:trPr>
        <w:tc>
          <w:tcPr>
            <w:tcW w:w="2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of hardware and others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47,056</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Battery swapping service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580" w:top="100"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 and gross margin</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Battery upgrade initiatives</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Battery swapping service rebate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Non-IFRS gross profit and gross margin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Battery upgrade initiatives</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Battery swapping service rebate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Non-IFRS net loss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EBITDA</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Battery upgrade initiatives</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Battery swapping service rebate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top w:val="single" w:sz="8" w:color="auto"/>
              <w:bottom w:val="single" w:sz="8" w:color="auto"/>
            </w:tcBorders>
          </w:tcPr>
          <w:p>
            <w:pPr>
              <w:spacing w:after="0"/>
              <w:rPr>
                <w:sz w:val="18"/>
                <w:szCs w:val="18"/>
                <w:color w:val="auto"/>
              </w:rPr>
            </w:pPr>
          </w:p>
        </w:tc>
      </w:tr>
      <w:tr>
        <w:trPr>
          <w:trHeight w:val="205"/>
        </w:trPr>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16"/>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70"/>
        </w:trPr>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3"/>
                <w:szCs w:val="23"/>
                <w:color w:val="auto"/>
              </w:rPr>
            </w:pPr>
          </w:p>
        </w:tc>
      </w:tr>
      <w:tr>
        <w:trPr>
          <w:trHeight w:val="219"/>
        </w:trPr>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9"/>
                <w:szCs w:val="19"/>
                <w:color w:val="auto"/>
              </w:rPr>
            </w:pPr>
          </w:p>
        </w:tc>
      </w:tr>
      <w:tr>
        <w:trPr>
          <w:trHeight w:val="212"/>
        </w:trPr>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-770890</wp:posOffset>
            </wp:positionV>
            <wp:extent cx="684085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0855" cy="14605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-487680</wp:posOffset>
            </wp:positionV>
            <wp:extent cx="684085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08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-179070</wp:posOffset>
            </wp:positionV>
            <wp:extent cx="68408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0855" cy="163195"/>
                    </a:xfrm>
                    <a:prstGeom prst="rect">
                      <a:avLst/>
                    </a:prstGeom>
                    <a:noFill/>
                  </pic:spPr>
                </pic:pic>
              </a:graphicData>
            </a:graphic>
          </wp:anchor>
        </w:drawing>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(13,127)</w:t>
            </w:r>
          </w:p>
        </w:tc>
        <w:tc>
          <w:tcPr>
            <w:tcW w:w="16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(40,620)</w:t>
            </w:r>
          </w:p>
        </w:tc>
      </w:tr>
      <w:tr>
        <w:trPr>
          <w:trHeight w:val="216"/>
        </w:trPr>
        <w:tc>
          <w:tcPr>
            <w:tcW w:w="5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6,166</w:t>
            </w:r>
          </w:p>
        </w:tc>
      </w:tr>
      <w:tr>
        <w:trPr>
          <w:trHeight w:val="216"/>
        </w:trPr>
        <w:tc>
          <w:tcPr>
            <w:tcW w:w="50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(13,198)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18,513</w:t>
            </w:r>
          </w:p>
        </w:tc>
      </w:tr>
      <w:tr>
        <w:trPr>
          <w:trHeight w:val="243"/>
        </w:trPr>
        <w:tc>
          <w:tcPr>
            <w:tcW w:w="50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2,834</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1,661</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(18,452)</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(15,941)</w:t>
            </w:r>
          </w:p>
        </w:tc>
      </w:tr>
      <w:tr>
        <w:trPr>
          <w:trHeight w:val="23"/>
        </w:trPr>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-908050</wp:posOffset>
            </wp:positionV>
            <wp:extent cx="684085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0855" cy="1454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-624840</wp:posOffset>
            </wp:positionV>
            <wp:extent cx="684085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0855" cy="13716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-316865</wp:posOffset>
            </wp:positionV>
            <wp:extent cx="684085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0855" cy="137160"/>
                    </a:xfrm>
                    <a:prstGeom prst="rect">
                      <a:avLst/>
                    </a:prstGeom>
                    <a:noFill/>
                  </pic:spPr>
                </pic:pic>
              </a:graphicData>
            </a:graphic>
          </wp:anchor>
        </w:drawing>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(13,127)</w:t>
            </w:r>
          </w:p>
        </w:tc>
        <w:tc>
          <w:tcPr>
            <w:tcW w:w="16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(40,620)</w:t>
            </w:r>
          </w:p>
        </w:tc>
      </w:tr>
      <w:tr>
        <w:trPr>
          <w:trHeight w:val="216"/>
        </w:trPr>
        <w:tc>
          <w:tcPr>
            <w:tcW w:w="5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1,897</w:t>
            </w:r>
          </w:p>
        </w:tc>
      </w:tr>
      <w:tr>
        <w:trPr>
          <w:trHeight w:val="219"/>
        </w:trPr>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24,680</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24,675</w:t>
            </w:r>
          </w:p>
        </w:tc>
      </w:tr>
      <w:tr>
        <w:trPr>
          <w:trHeight w:val="207"/>
        </w:trPr>
        <w:tc>
          <w:tcPr>
            <w:tcW w:w="500" w:type="dxa"/>
            <w:vAlign w:val="bottom"/>
          </w:tcPr>
          <w:p>
            <w:pPr>
              <w:spacing w:after="0"/>
              <w:rPr>
                <w:sz w:val="17"/>
                <w:szCs w:val="17"/>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14,281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(14,048)</w:t>
            </w:r>
          </w:p>
        </w:tc>
      </w:tr>
      <w:tr>
        <w:trPr>
          <w:trHeight w:val="216"/>
        </w:trPr>
        <w:tc>
          <w:tcPr>
            <w:tcW w:w="5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6,166</w:t>
            </w:r>
          </w:p>
        </w:tc>
      </w:tr>
      <w:tr>
        <w:trPr>
          <w:trHeight w:val="216"/>
        </w:trPr>
        <w:tc>
          <w:tcPr>
            <w:tcW w:w="50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(13,198)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18,513</w:t>
            </w:r>
          </w:p>
        </w:tc>
      </w:tr>
      <w:tr>
        <w:trPr>
          <w:trHeight w:val="216"/>
        </w:trPr>
        <w:tc>
          <w:tcPr>
            <w:tcW w:w="5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1,661</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8,956</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10,631</w:t>
            </w:r>
          </w:p>
        </w:tc>
      </w:tr>
      <w:tr>
        <w:trPr>
          <w:trHeight w:val="23"/>
        </w:trPr>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-1293495</wp:posOffset>
            </wp:positionV>
            <wp:extent cx="684085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0855" cy="1454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-1010920</wp:posOffset>
            </wp:positionV>
            <wp:extent cx="684085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0855" cy="13716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-728345</wp:posOffset>
            </wp:positionV>
            <wp:extent cx="684085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0855" cy="13716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-453390</wp:posOffset>
            </wp:positionV>
            <wp:extent cx="684085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0855" cy="13716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-179705</wp:posOffset>
            </wp:positionV>
            <wp:extent cx="684085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085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720"/>
          </w:cols>
          <w:pgMar w:left="58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980"/>
      </w:cols>
      <w:pgMar w:left="580" w:top="1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2024-05-09T05:25:05Z</dcterms:created>
  <dcterms:modified xsi:type="dcterms:W3CDTF">2024-05-09T05:25:05Z</dcterms:modified>
</cp:coreProperties>
</file>