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797d6k.htm"/>
      <w:bookmarkStart w:id="1" w:name="ksd10579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001-41327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GOGORO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11F, Building C, </w:t>
      </w:r>
    </w:p>
    <w:p>
      <w:pPr>
        <w:pStyle w:val="TextBody"/>
        <w:bidi w:val="0"/>
        <w:spacing w:before="0" w:after="0"/>
        <w:jc w:val="center"/>
        <w:rPr>
          <w:rFonts w:ascii="Times New Roman" w:hAnsi="Times New Roman"/>
          <w:b/>
          <w:sz w:val="20"/>
        </w:rPr>
      </w:pPr>
      <w:r>
        <w:rPr>
          <w:rFonts w:ascii="Times New Roman" w:hAnsi="Times New Roman"/>
          <w:b/>
          <w:sz w:val="20"/>
        </w:rPr>
        <w:t xml:space="preserve">No. 225, Section 2, Chang’an E. Rd. </w:t>
      </w:r>
    </w:p>
    <w:p>
      <w:pPr>
        <w:pStyle w:val="TextBody"/>
        <w:bidi w:val="0"/>
        <w:spacing w:before="0" w:after="0"/>
        <w:jc w:val="center"/>
        <w:rPr>
          <w:rFonts w:ascii="Times New Roman" w:hAnsi="Times New Roman"/>
          <w:b/>
          <w:sz w:val="20"/>
        </w:rPr>
      </w:pPr>
      <w:r>
        <w:rPr>
          <w:rFonts w:ascii="Times New Roman" w:hAnsi="Times New Roman"/>
          <w:b/>
          <w:sz w:val="20"/>
        </w:rPr>
        <w:t xml:space="preserve">SongShan District, Taipei City 105 </w:t>
      </w:r>
    </w:p>
    <w:p>
      <w:pPr>
        <w:pStyle w:val="TextBody"/>
        <w:bidi w:val="0"/>
        <w:spacing w:before="0" w:after="0"/>
        <w:jc w:val="center"/>
        <w:rPr>
          <w:rFonts w:ascii="Times New Roman" w:hAnsi="Times New Roman"/>
          <w:b/>
          <w:sz w:val="20"/>
        </w:rPr>
      </w:pPr>
      <w:r>
        <w:rPr>
          <w:rFonts w:ascii="Times New Roman" w:hAnsi="Times New Roman"/>
          <w:b/>
          <w:sz w:val="20"/>
        </w:rPr>
        <w:t xml:space="preserve">Taiwan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EXHIBITS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519"/>
        <w:gridCol w:w="8801"/>
      </w:tblGrid>
      <w:tr>
        <w:trPr/>
        <w:tc>
          <w:tcPr>
            <w:tcW w:w="88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885" w:type="dxa"/>
            <w:tcBorders/>
            <w:vAlign w:val="bottom"/>
          </w:tcPr>
          <w:p>
            <w:pPr>
              <w:pStyle w:val="TableContents"/>
              <w:bidi w:val="0"/>
              <w:spacing w:before="0" w:after="283"/>
              <w:jc w:val="center"/>
              <w:rPr>
                <w:b/>
              </w:rPr>
            </w:pPr>
            <w:r>
              <w:rPr>
                <w:b/>
              </w:rPr>
              <w:t>Exhibit</w:t>
              <w:br/>
              <w:t>Number</w:t>
            </w:r>
          </w:p>
        </w:tc>
        <w:tc>
          <w:tcPr>
            <w:tcW w:w="519" w:type="dxa"/>
            <w:tcBorders/>
            <w:vAlign w:val="bottom"/>
          </w:tcPr>
          <w:p>
            <w:pPr>
              <w:pStyle w:val="TableContents"/>
              <w:bidi w:val="0"/>
              <w:spacing w:before="0" w:after="283"/>
              <w:jc w:val="left"/>
              <w:rPr/>
            </w:pPr>
            <w:r>
              <w:rPr/>
              <w:t>  </w:t>
            </w:r>
          </w:p>
        </w:tc>
        <w:tc>
          <w:tcPr>
            <w:tcW w:w="8801" w:type="dxa"/>
            <w:tcBorders/>
            <w:vAlign w:val="bottom"/>
          </w:tcPr>
          <w:p>
            <w:pPr>
              <w:pStyle w:val="TableContents"/>
              <w:bidi w:val="0"/>
              <w:spacing w:before="0" w:after="283"/>
              <w:jc w:val="left"/>
              <w:rPr>
                <w:b/>
              </w:rPr>
            </w:pPr>
            <w:r>
              <w:rPr>
                <w:b/>
              </w:rPr>
              <w:t>Exhibit Title</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99.1</w:t>
            </w:r>
          </w:p>
        </w:tc>
        <w:tc>
          <w:tcPr>
            <w:tcW w:w="519"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105797dex991.htm">
              <w:r>
                <w:rPr>
                  <w:rStyle w:val="InternetLink"/>
                </w:rPr>
                <w:t xml:space="preserve">Supplement to the Notice of Annual General Meeting of the Company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1"/>
        <w:gridCol w:w="407"/>
        <w:gridCol w:w="60"/>
        <w:gridCol w:w="23"/>
        <w:gridCol w:w="101"/>
        <w:gridCol w:w="4706"/>
      </w:tblGrid>
      <w:tr>
        <w:trPr/>
        <w:tc>
          <w:tcPr>
            <w:tcW w:w="48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b/>
              </w:rPr>
            </w:pPr>
            <w:r>
              <w:rPr>
                <w:b/>
              </w:rPr>
              <w:t>Gogoro Inc.</w:t>
            </w:r>
          </w:p>
        </w:tc>
      </w:tr>
      <w:tr>
        <w:trPr>
          <w:trHeight w:val="240" w:hRule="atLeast"/>
        </w:trPr>
        <w:tc>
          <w:tcPr>
            <w:tcW w:w="480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pPr>
            <w:r>
              <w:rPr/>
              <w:t>Date: April 3,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Morrison Aitken</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Bruce Morrison Aitken</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05797dex991.htm"/>
      <w:bookmarkStart w:id="3" w:name="ksd105797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Gogoro Inc. </w:t>
      </w:r>
    </w:p>
    <w:p>
      <w:pPr>
        <w:pStyle w:val="TextBody"/>
        <w:bidi w:val="0"/>
        <w:spacing w:before="240" w:after="0"/>
        <w:jc w:val="center"/>
        <w:rPr>
          <w:rFonts w:ascii="Times New Roman" w:hAnsi="Times New Roman"/>
          <w:b/>
          <w:sz w:val="20"/>
        </w:rPr>
      </w:pPr>
      <w:r>
        <w:rPr>
          <w:rFonts w:ascii="Times New Roman" w:hAnsi="Times New Roman"/>
          <w:b/>
          <w:sz w:val="20"/>
        </w:rPr>
        <w:t xml:space="preserve">(the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 to the Notice of Annual General Meeting of the Company </w:t>
      </w:r>
    </w:p>
    <w:p>
      <w:pPr>
        <w:pStyle w:val="TextBody"/>
        <w:bidi w:val="0"/>
        <w:spacing w:before="240" w:after="0"/>
        <w:jc w:val="left"/>
        <w:rPr>
          <w:rFonts w:ascii="Times New Roman" w:hAnsi="Times New Roman"/>
          <w:sz w:val="20"/>
        </w:rPr>
      </w:pPr>
      <w:r>
        <w:rPr>
          <w:rFonts w:ascii="Times New Roman" w:hAnsi="Times New Roman"/>
          <w:sz w:val="20"/>
        </w:rPr>
        <w:t>Notice of the annual general meeting of the Company (the “</w:t>
      </w:r>
      <w:r>
        <w:rPr>
          <w:rFonts w:ascii="Times New Roman" w:hAnsi="Times New Roman"/>
          <w:b/>
          <w:sz w:val="20"/>
        </w:rPr>
        <w:t>AGM</w:t>
      </w:r>
      <w:r>
        <w:rPr>
          <w:rFonts w:ascii="Times New Roman" w:hAnsi="Times New Roman"/>
          <w:sz w:val="20"/>
        </w:rPr>
        <w:t>”), to be held at Building C, No. 225, Sec. 2, Chang’an E. Rd., Songshan Dist., Taipei City, Taiwan 105, on 28 April 2026 at 9:30 am Taipei time, was issued on March 20, 2026 (the “</w:t>
      </w:r>
      <w:r>
        <w:rPr>
          <w:rFonts w:ascii="Times New Roman" w:hAnsi="Times New Roman"/>
          <w:b/>
          <w:sz w:val="20"/>
        </w:rPr>
        <w:t>Notice</w:t>
      </w:r>
      <w:r>
        <w:rPr>
          <w:rFonts w:ascii="Times New Roman" w:hAnsi="Times New Roman"/>
          <w:sz w:val="20"/>
        </w:rPr>
        <w:t>”). This document constitutes a supplement to the Notice (the “</w:t>
      </w:r>
      <w:r>
        <w:rPr>
          <w:rFonts w:ascii="Times New Roman" w:hAnsi="Times New Roman"/>
          <w:b/>
          <w:sz w:val="20"/>
        </w:rPr>
        <w:t>Supplement</w:t>
      </w:r>
      <w:r>
        <w:rPr>
          <w:rFonts w:ascii="Times New Roman" w:hAnsi="Times New Roman"/>
          <w:sz w:val="20"/>
        </w:rPr>
        <w:t xml:space="preserve">”) and should be read in conjunction with the Notice. </w:t>
      </w:r>
    </w:p>
    <w:p>
      <w:pPr>
        <w:pStyle w:val="TextBody"/>
        <w:bidi w:val="0"/>
        <w:spacing w:before="240" w:after="0"/>
        <w:jc w:val="left"/>
        <w:rPr>
          <w:rFonts w:ascii="Times New Roman" w:hAnsi="Times New Roman"/>
          <w:sz w:val="20"/>
        </w:rPr>
      </w:pPr>
      <w:r>
        <w:rPr>
          <w:rFonts w:ascii="Times New Roman" w:hAnsi="Times New Roman"/>
          <w:sz w:val="20"/>
        </w:rPr>
        <w:t>The Notice sets out the details of an ordinary resolution to approve an increase in the authorised share capital of the Company (the “</w:t>
      </w:r>
      <w:r>
        <w:rPr>
          <w:rFonts w:ascii="Times New Roman" w:hAnsi="Times New Roman"/>
          <w:b/>
          <w:sz w:val="20"/>
        </w:rPr>
        <w:t>Share Capital Resolution</w:t>
      </w:r>
      <w:r>
        <w:rPr>
          <w:rFonts w:ascii="Times New Roman" w:hAnsi="Times New Roman"/>
          <w:sz w:val="20"/>
        </w:rPr>
        <w:t xml:space="preserve">”). The Company has identified a typographical error in the text of the Share Capital Resolution as stated in the Notice and wishes, by this Supplement, to draw shareholders’ attention to the error and to correct the text of the Share Capital Resolution. </w:t>
      </w:r>
    </w:p>
    <w:p>
      <w:pPr>
        <w:pStyle w:val="TextBody"/>
        <w:bidi w:val="0"/>
        <w:spacing w:before="240" w:after="0"/>
        <w:jc w:val="left"/>
        <w:rPr>
          <w:rFonts w:ascii="Times New Roman" w:hAnsi="Times New Roman"/>
          <w:sz w:val="20"/>
        </w:rPr>
      </w:pPr>
      <w:r>
        <w:rPr>
          <w:rFonts w:ascii="Times New Roman" w:hAnsi="Times New Roman"/>
          <w:sz w:val="20"/>
        </w:rPr>
        <w:t>The Share Capital Resolution, as amended, is set out below with the specific correction identified in paragraph (b) (the “</w:t>
      </w:r>
      <w:r>
        <w:rPr>
          <w:rFonts w:ascii="Times New Roman" w:hAnsi="Times New Roman"/>
          <w:b/>
          <w:sz w:val="20"/>
        </w:rPr>
        <w:t>Share Capital Resolution, as Amended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authorised share capital be increased: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FROM</w:t>
            </w:r>
            <w:r>
              <w:rPr>
                <w:rFonts w:ascii="Times New Roman" w:hAnsi="Times New Roman"/>
                <w:sz w:val="20"/>
              </w:rPr>
              <w:t xml:space="preserve">: US$50,000 divided into 22,500,000 ordinary shares of a nominal or par value of US$0.002 each, and 50,000,000 preference shares of a nominal or par value of US$0.0001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w:t>
            </w:r>
            <w:r>
              <w:rPr>
                <w:rFonts w:ascii="Times New Roman" w:hAnsi="Times New Roman"/>
                <w:sz w:val="20"/>
                <w:u w:val="single"/>
              </w:rPr>
              <w:t>US$125,000</w:t>
            </w:r>
            <w:r>
              <w:rPr>
                <w:rFonts w:ascii="Times New Roman" w:hAnsi="Times New Roman"/>
                <w:sz w:val="20"/>
              </w:rPr>
              <w:t xml:space="preserve"> </w:t>
            </w:r>
            <w:r>
              <w:rPr>
                <w:rFonts w:ascii="Times New Roman" w:hAnsi="Times New Roman"/>
                <w:strike/>
                <w:sz w:val="20"/>
              </w:rPr>
              <w:t>US$120,000</w:t>
            </w:r>
            <w:r>
              <w:rPr>
                <w:rFonts w:ascii="Times New Roman" w:hAnsi="Times New Roman"/>
                <w:sz w:val="20"/>
              </w:rPr>
              <w:t xml:space="preserve"> divided into 60,000,000 ordinary shares of a nominal or par value of US$0.002 each, and 50,000,000 preference shares of a nominal or par value of US$0.0001 each;”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votes cast in respect of the Share Capital Resolution, whether in person at the AGM or by proxy (including proxies delivered prior to the date of this supplement to the Notice), shall be deemed to be votes cast in respect of the Share Capital Resolution, as Amended. </w:t>
      </w:r>
    </w:p>
    <w:p>
      <w:pPr>
        <w:pStyle w:val="TextBody"/>
        <w:bidi w:val="0"/>
        <w:spacing w:before="120" w:after="0"/>
        <w:jc w:val="left"/>
        <w:rPr>
          <w:rFonts w:ascii="Times New Roman" w:hAnsi="Times New Roman"/>
          <w:sz w:val="20"/>
        </w:rPr>
      </w:pPr>
      <w:r>
        <w:rPr>
          <w:rFonts w:ascii="Times New Roman" w:hAnsi="Times New Roman"/>
          <w:sz w:val="20"/>
        </w:rPr>
        <w:t xml:space="preserve">By order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Tamon Tseng </w:t>
      </w:r>
    </w:p>
    <w:p>
      <w:pPr>
        <w:pStyle w:val="TextBody"/>
        <w:bidi w:val="0"/>
        <w:spacing w:before="0" w:after="0"/>
        <w:jc w:val="left"/>
        <w:rPr>
          <w:rFonts w:ascii="Times New Roman" w:hAnsi="Times New Roman"/>
          <w:sz w:val="20"/>
        </w:rPr>
      </w:pPr>
      <w:r>
        <w:rPr>
          <w:rFonts w:ascii="Times New Roman" w:hAnsi="Times New Roman"/>
          <w:sz w:val="20"/>
        </w:rPr>
        <w:t xml:space="preserve">Chairman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Dated: April 3,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463</Words>
  <Characters>2347</Characters>
  <CharactersWithSpaces>2841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