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May 8, 2025, Gogoro Inc. issued a press release announcing its financial and operating results for the first quarter ended March 31, 2025. A copy of the press release is furnished herewith as Exhibit 99.1 to this Report on Form 6-K and is incorporated by reference herein.</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sectPr>
          <w:pgSz w:w="11900" w:h="16838" w:orient="portrait"/>
          <w:cols w:equalWidth="0" w:num="1">
            <w:col w:w="11200"/>
          </w:cols>
          <w:pgMar w:left="320" w:top="1440" w:right="37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w w:val="98"/>
              </w:rPr>
              <w:t>EXHIBITS INDEX</w:t>
            </w:r>
          </w:p>
        </w:tc>
      </w:tr>
      <w:tr>
        <w:trPr>
          <w:trHeight w:val="67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Gogoro Inc., dated May 8, 2025.</w:t>
            </w: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highlight w:val="white"/>
        </w:rPr>
        <w:t xml:space="preserve">Gogoro Releases First Quarter </w:t>
      </w:r>
      <w:r>
        <w:rPr>
          <w:rFonts w:ascii="Times New Roman" w:cs="Times New Roman" w:eastAsia="Times New Roman" w:hAnsi="Times New Roman"/>
          <w:sz w:val="27"/>
          <w:szCs w:val="27"/>
          <w:b w:val="1"/>
          <w:bCs w:val="1"/>
          <w:color w:val="auto"/>
        </w:rPr>
        <w:t>2025 Financial Results</w:t>
      </w:r>
    </w:p>
    <w:p>
      <w:pPr>
        <w:spacing w:after="0" w:line="200" w:lineRule="exact"/>
        <w:rPr>
          <w:sz w:val="20"/>
          <w:szCs w:val="20"/>
          <w:color w:val="auto"/>
        </w:rPr>
      </w:pPr>
    </w:p>
    <w:p>
      <w:pPr>
        <w:spacing w:after="0" w:line="279" w:lineRule="exact"/>
        <w:rPr>
          <w:sz w:val="20"/>
          <w:szCs w:val="20"/>
          <w:color w:val="auto"/>
        </w:rPr>
      </w:pPr>
    </w:p>
    <w:p>
      <w:pPr>
        <w:jc w:val="both"/>
        <w:ind w:right="80"/>
        <w:spacing w:after="0" w:line="291" w:lineRule="auto"/>
        <w:rPr>
          <w:sz w:val="20"/>
          <w:szCs w:val="20"/>
          <w:color w:val="auto"/>
        </w:rPr>
      </w:pPr>
      <w:r>
        <w:rPr>
          <w:rFonts w:ascii="Times New Roman" w:cs="Times New Roman" w:eastAsia="Times New Roman" w:hAnsi="Times New Roman"/>
          <w:sz w:val="20"/>
          <w:szCs w:val="20"/>
          <w:b w:val="1"/>
          <w:bCs w:val="1"/>
          <w:color w:val="auto"/>
          <w:highlight w:val="white"/>
        </w:rPr>
        <w:t>TAIPEI, TAIWAN, May 8</w:t>
      </w:r>
      <w:r>
        <w:rPr>
          <w:rFonts w:ascii="Times New Roman" w:cs="Times New Roman" w:eastAsia="Times New Roman" w:hAnsi="Times New Roman"/>
          <w:sz w:val="20"/>
          <w:szCs w:val="20"/>
          <w:b w:val="1"/>
          <w:bCs w:val="1"/>
          <w:color w:val="auto"/>
        </w:rPr>
        <w:t>, 2025</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 Gogoro Inc. (“Gogoro,” “the Company” or “We”) (Nasdaq: GGR), a global technology leader in battery</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swapping ecosystems that enable sustainable mobility solutions for cities, today released its financial results for its first quarter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-513715</wp:posOffset>
            </wp:positionV>
            <wp:extent cx="12827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3716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2025 Summary</w:t>
      </w:r>
    </w:p>
    <w:p>
      <w:pPr>
        <w:spacing w:after="0" w:line="229"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of $63.6 million, down 8.7% year-over-year and down 4.5% on a constant currency basis.</w:t>
      </w:r>
    </w:p>
    <w:p>
      <w:pPr>
        <w:spacing w:after="0" w:line="20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Battery swapping service revenue of $34.5 million, up 6.2% year-over-year and up 11.1% on a constant currency basis.</w:t>
      </w:r>
    </w:p>
    <w:p>
      <w:pPr>
        <w:spacing w:after="0" w:line="242" w:lineRule="exact"/>
        <w:rPr>
          <w:rFonts w:ascii="Times New Roman" w:cs="Times New Roman" w:eastAsia="Times New Roman" w:hAnsi="Times New Roman"/>
          <w:sz w:val="20"/>
          <w:szCs w:val="20"/>
          <w:b w:val="1"/>
          <w:bCs w:val="1"/>
          <w:color w:val="auto"/>
        </w:rPr>
      </w:pPr>
    </w:p>
    <w:p>
      <w:pPr>
        <w:ind w:left="660" w:right="180" w:hanging="328"/>
        <w:spacing w:after="0" w:line="315"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Sales of hardware and others revenue of $29.1 million, down 21.8% year-over-year and down 18.1% on a constant currency basis.</w:t>
      </w:r>
    </w:p>
    <w:p>
      <w:pPr>
        <w:spacing w:after="0" w:line="98" w:lineRule="exact"/>
        <w:rPr>
          <w:rFonts w:ascii="Times New Roman" w:cs="Times New Roman" w:eastAsia="Times New Roman" w:hAnsi="Times New Roman"/>
          <w:sz w:val="20"/>
          <w:szCs w:val="20"/>
          <w:b w:val="1"/>
          <w:bCs w:val="1"/>
          <w:color w:val="auto"/>
        </w:rPr>
      </w:pPr>
    </w:p>
    <w:p>
      <w:pPr>
        <w:ind w:left="660" w:right="280" w:hanging="328"/>
        <w:spacing w:after="0" w:line="315"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Gross margin of 4.9%, down from 6.4% in the same quarter last year due to the large quantity of upgraded battery packs. Non-IFRS gross margin of 18.2%, up 3.1% year-over-year.</w:t>
      </w:r>
    </w:p>
    <w:p>
      <w:pPr>
        <w:spacing w:after="0" w:line="98"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of $18.6 million as compared to a net loss of $13.1 million in the same quarter last year.</w:t>
      </w:r>
    </w:p>
    <w:p>
      <w:pPr>
        <w:spacing w:after="0" w:line="21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Adjusted EBITDA of $14.3 million, up from $10.2 million in the same quarter last year.</w:t>
      </w:r>
    </w:p>
    <w:p>
      <w:pPr>
        <w:spacing w:after="0" w:line="22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 xml:space="preserve">“The word that best describes our efforts over the past two quarters is focus. At Gogoro, we are focused on delivering an exceptional user experience, driving operational efficiency, and executing with discipline against a clear and ambitious long-term strategy. Our results in the first quarter of 2025 reflect that focus. We delivered solid gross margin and made critical investments in our future, while also significantly reducing operating expenses year-over-year,” </w:t>
      </w:r>
      <w:r>
        <w:rPr>
          <w:rFonts w:ascii="Times New Roman" w:cs="Times New Roman" w:eastAsia="Times New Roman" w:hAnsi="Times New Roman"/>
          <w:sz w:val="20"/>
          <w:szCs w:val="20"/>
          <w:b w:val="1"/>
          <w:bCs w:val="1"/>
          <w:color w:val="auto"/>
        </w:rPr>
        <w:t>said Henry Chiang, interim CEO of Gogoro.</w:t>
      </w:r>
      <w:r>
        <w:rPr>
          <w:rFonts w:ascii="Times New Roman" w:cs="Times New Roman" w:eastAsia="Times New Roman" w:hAnsi="Times New Roman"/>
          <w:sz w:val="20"/>
          <w:szCs w:val="20"/>
          <w:color w:val="auto"/>
        </w:rPr>
        <w:t xml:space="preserve"> “We remain firmly committed to our profitability milestones and the progress we have made this quarter reinforces our confidence in that trajectory.”</w:t>
      </w:r>
    </w:p>
    <w:p>
      <w:pPr>
        <w:spacing w:after="0" w:line="207" w:lineRule="exact"/>
        <w:rPr>
          <w:sz w:val="20"/>
          <w:szCs w:val="20"/>
          <w:color w:val="auto"/>
        </w:rPr>
      </w:pPr>
    </w:p>
    <w:p>
      <w:pPr>
        <w:ind w:left="20" w:right="40" w:firstLine="6"/>
        <w:spacing w:after="0" w:line="276" w:lineRule="auto"/>
        <w:rPr>
          <w:sz w:val="20"/>
          <w:szCs w:val="20"/>
          <w:color w:val="auto"/>
        </w:rPr>
      </w:pPr>
      <w:r>
        <w:rPr>
          <w:rFonts w:ascii="Times New Roman" w:cs="Times New Roman" w:eastAsia="Times New Roman" w:hAnsi="Times New Roman"/>
          <w:sz w:val="20"/>
          <w:szCs w:val="20"/>
          <w:color w:val="auto"/>
        </w:rPr>
        <w:t xml:space="preserve">“In the first quarter of 2025, we delivered meaningful financial improvements driven by a focused effort on operational efficiency and disciplined execution compared to the first quarter of 2024. This reflects the early success of our cost optimization initiatives and our commitment to building a more resilient and scalable business. We remain on track to meet our planned financial milestones. These goals are grounded in a clear roadmap and are supported by recurring revenue from our Gogoro Network battery swapping business, which continues to grow in both subscribers and service adoption,” </w:t>
      </w:r>
      <w:r>
        <w:rPr>
          <w:rFonts w:ascii="Times New Roman" w:cs="Times New Roman" w:eastAsia="Times New Roman" w:hAnsi="Times New Roman"/>
          <w:sz w:val="20"/>
          <w:szCs w:val="20"/>
          <w:b w:val="1"/>
          <w:bCs w:val="1"/>
          <w:color w:val="auto"/>
        </w:rPr>
        <w:t>said Bruce Aitken, CFO of Gogoro.</w:t>
      </w:r>
      <w:r>
        <w:rPr>
          <w:rFonts w:ascii="Times New Roman" w:cs="Times New Roman" w:eastAsia="Times New Roman" w:hAnsi="Times New Roman"/>
          <w:sz w:val="20"/>
          <w:szCs w:val="20"/>
          <w:color w:val="auto"/>
        </w:rPr>
        <w:t xml:space="preserve"> “Our capital position was further strengthened by securing a new NT$2 billion credit facility this quarter, which provides us with additional flexibility to support strategic initiatives and product innovation while reinforcing external confidence in our long-term plan. While we continue to face a challenging macroeconomic environment, we are actively managing risk, recalibrating expectations, and maintaining tight financial controls. We are confident that the foundation we are building today will enable sustainable growth and long-term shareholder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First Quarter 2025 Financial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p>
      <w:pPr>
        <w:spacing w:after="0" w:line="166" w:lineRule="exact"/>
        <w:rPr>
          <w:sz w:val="20"/>
          <w:szCs w:val="20"/>
          <w:color w:val="auto"/>
        </w:rPr>
      </w:pPr>
    </w:p>
    <w:p>
      <w:pPr>
        <w:jc w:val="both"/>
        <w:ind w:left="20" w:right="180"/>
        <w:spacing w:after="0" w:line="252" w:lineRule="auto"/>
        <w:rPr>
          <w:sz w:val="20"/>
          <w:szCs w:val="20"/>
          <w:color w:val="auto"/>
        </w:rPr>
      </w:pPr>
      <w:r>
        <w:rPr>
          <w:rFonts w:ascii="Times New Roman" w:cs="Times New Roman" w:eastAsia="Times New Roman" w:hAnsi="Times New Roman"/>
          <w:sz w:val="20"/>
          <w:szCs w:val="20"/>
          <w:color w:val="auto"/>
        </w:rPr>
        <w:t>For the first quarter, the total revenue was $63.6 million, down 8.7% year-over-year and down 4.5%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the same quarter last year, revenue would have been up by an additional $2.9 million.</w:t>
      </w:r>
    </w:p>
    <w:p>
      <w:pPr>
        <w:spacing w:after="0" w:line="268" w:lineRule="exact"/>
        <w:rPr>
          <w:sz w:val="20"/>
          <w:szCs w:val="20"/>
          <w:color w:val="auto"/>
        </w:rPr>
      </w:pPr>
    </w:p>
    <w:p>
      <w:pPr>
        <w:ind w:left="660" w:hanging="328"/>
        <w:spacing w:after="0" w:line="260" w:lineRule="auto"/>
        <w:tabs>
          <w:tab w:leader="none" w:pos="656"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Battery swapping service revenue for the first quarter was $34.5 million, up 6.2% year-over-year, and up 11.1%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Total subscribers at the end of the first quarter was 644,000, up 8% from 595,000 subscribers at the end of the same quarter last year. The year-over-year increase in battery swapping service revenue was primarily due to our larger subscriber base compared to the same quarter last year and the high retention rate of our subscribers. We continue to see the strength of our subscription-based business model which enables us to accumulate more customers to maximize our battery swapping network efficiency.</w:t>
      </w:r>
    </w:p>
    <w:p>
      <w:pPr>
        <w:spacing w:after="0" w:line="226" w:lineRule="exact"/>
        <w:rPr>
          <w:rFonts w:ascii="Arial" w:cs="Arial" w:eastAsia="Arial" w:hAnsi="Arial"/>
          <w:sz w:val="22"/>
          <w:szCs w:val="22"/>
          <w:color w:val="auto"/>
        </w:rPr>
      </w:pPr>
    </w:p>
    <w:p>
      <w:pPr>
        <w:ind w:left="660" w:hanging="328"/>
        <w:spacing w:after="0" w:line="265"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hardware and other revenue for the first quarter was $29.1 million, down 21.8% year-over-year, and down 18.1%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year-over-year decrease in sales of hardware and other revenues was driven by (i) a 36.1% decrease in vehicle sales volume on a year-over-year basis primarily due to the delayed launch of an anticipated vehicle; we believe these sales will shift to subsequent quarters, (ii) a $1.3 million decrease in sales revenues associated with selling accessories and parts and performing maintenance in Gogoro Quick Service centers, and (iii) a $2.3 million decrease in sales revenues related to PBGN partners and overseas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1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For the first quarter, gross margin was 4.9%, down from 6.4% in the same quarter last year while non-IFRS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18.2%, up from 15.1% in the same quarter last year. The change in gross margin was primarily driven by a combination of factors: (i) a $4.2 million increase in costs associated with our battery upgrade initiative, including derecognition expenses on components removed from battery packs and other directly attributable costs, (ii) higher excess capacity costs due to reduced sales volume, and (iii) a decline in sales of high-margin accessories and parts. The change in non-IFRS gross margin was primarily driven by lower depreciation across our entire install base of battery packs from increased network efficiency as well as the extended lifespan of upgraded batteries and improvements in other operational efficiencies.</w:t>
      </w:r>
    </w:p>
    <w:p>
      <w:pPr>
        <w:spacing w:after="0" w:line="231"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20"/>
          <w:szCs w:val="20"/>
          <w:color w:val="auto"/>
        </w:rPr>
        <w:t>Gogoro was founded as an innovative energy business and we continue to invest heavily in growing and updating our Gogoro Network by deploying new GoStations, battery packs, and software updates. Over the last three years, we have invested approximately $100 million in capital expenditure annually.</w:t>
      </w:r>
    </w:p>
    <w:p>
      <w:pPr>
        <w:spacing w:after="0" w:line="21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auto"/>
        </w:rPr>
        <w:t>Additionally, in the past few quarters, we have been undertaking a program to carry out one-time, voluntary upgrades on certain battery packs which are expected to continue through 2025. These upgrades provide multiple benefits — more efficient deployment of our resources than replacing battery packs,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4" w:lineRule="exact"/>
        <w:rPr>
          <w:sz w:val="20"/>
          <w:szCs w:val="20"/>
          <w:color w:val="auto"/>
        </w:rPr>
      </w:pPr>
    </w:p>
    <w:p>
      <w:pPr>
        <w:ind w:left="180" w:right="460" w:hanging="107"/>
        <w:spacing w:after="0" w:line="239" w:lineRule="auto"/>
        <w:tabs>
          <w:tab w:leader="none" w:pos="166"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This is a non-IFRS measure, see </w:t>
      </w:r>
      <w:r>
        <w:rPr>
          <w:rFonts w:ascii="Times New Roman" w:cs="Times New Roman" w:eastAsia="Times New Roman" w:hAnsi="Times New Roman"/>
          <w:sz w:val="14"/>
          <w:szCs w:val="14"/>
          <w:b w:val="1"/>
          <w:bCs w:val="1"/>
          <w:color w:val="auto"/>
        </w:rPr>
        <w:t>Use of Non-IFRS Financial Measures</w:t>
      </w:r>
      <w:r>
        <w:rPr>
          <w:rFonts w:ascii="Times New Roman" w:cs="Times New Roman" w:eastAsia="Times New Roman" w:hAnsi="Times New Roman"/>
          <w:sz w:val="14"/>
          <w:szCs w:val="14"/>
          <w:color w:val="auto"/>
        </w:rPr>
        <w:t xml:space="preserve"> for a description of the non-IFRS measures and </w:t>
      </w:r>
      <w:r>
        <w:rPr>
          <w:rFonts w:ascii="Times New Roman" w:cs="Times New Roman" w:eastAsia="Times New Roman" w:hAnsi="Times New Roman"/>
          <w:sz w:val="14"/>
          <w:szCs w:val="14"/>
          <w:b w:val="1"/>
          <w:bCs w:val="1"/>
          <w:color w:val="auto"/>
        </w:rPr>
        <w:t>Reconciliation of IFRS Financial Metrics to Non-IFRS</w:t>
      </w:r>
      <w:r>
        <w:rPr>
          <w:rFonts w:ascii="Times New Roman" w:cs="Times New Roman" w:eastAsia="Times New Roman" w:hAnsi="Times New Roman"/>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8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increasing lifetime capacity of each battery pack (including extending its first mobility use-case useful life) and solidifying the extra lifetime capacity of each battery pack to validate our second-life thesis. These upgrades are expected to create economic benefits in the long run but will lead to a short-term reduction in our gross margin as we continue carrying out these upgrades. We expect our cash position, gross profit and gross margin will continue to be impacted by the costs of these upgrades during 2025. In order to improve our overall customer experience and to extend battery life, we plan to continue upgrading a substantial quantity of our battery packs which are already in circulation and will improve designs of our battery packs to make them even more rugged, safer and long-lasting.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166"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For the first quarter, net loss was $18.6 million, representing an increase of $5.5 million from a net loss of $13.1 million in the same quarter last year. The increase in net loss was primarily due to an unfavorable change of $11.4 million in the fair value of financial liabilities associated with outstanding earnout shares, earn-in shares and warrants, which is mainly due to the Gogoro stock price declining to a lesser extent when compared to the same quarter last year, and the decrease of $1.4 million in gross profit, which was partially offset by the decrease of $9.6 million in operating expenses. This decrease in operating expenses was mainly due to lower variable marketing and promotional expenses resulting from reduced sales volume, savings in general and administrative expenses, lower payroll driven by organizational efficiency, and a $2.1 million reduction in share-based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16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For the first quarter,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$14.3 million, representing an increase of $4.1 million from $10.2 million in the same quarter last year. The increase was primarily due to a $7.1 million reduction in operating expenses (excluding share-based compensation, and depreciation and amortization) resulting from various cost-saving initiatives. The increase was partially offset by a decrease in other income and an increase in share of loss of investments accounted for using equity method compared to the same quarter last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In the first quarter of 2025, we incurred an operating cash outflow of $8.9 million, compared to an operating cash inflow of $0.9 million in the first quarter of 2024, primarily due to changes in operating assets and liabilities, resulting in a year-over-year decline in operating cash performance. With a cash balance of $93.3 million at the end of the first quarter of 2025, and the additional credit facilities that are available to us, we believe we have sufficient sources of funding to meet our near-term business growth objectives.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2025 Cost Reduction/Efficiency Plans</w:t>
      </w:r>
    </w:p>
    <w:p>
      <w:pPr>
        <w:spacing w:after="0" w:line="166" w:lineRule="exact"/>
        <w:rPr>
          <w:sz w:val="20"/>
          <w:szCs w:val="20"/>
          <w:color w:val="auto"/>
        </w:rPr>
      </w:pPr>
    </w:p>
    <w:p>
      <w:pPr>
        <w:ind w:left="20" w:right="120"/>
        <w:spacing w:after="0" w:line="300" w:lineRule="auto"/>
        <w:rPr>
          <w:sz w:val="20"/>
          <w:szCs w:val="20"/>
          <w:color w:val="auto"/>
        </w:rPr>
      </w:pPr>
      <w:r>
        <w:rPr>
          <w:rFonts w:ascii="Times New Roman" w:cs="Times New Roman" w:eastAsia="Times New Roman" w:hAnsi="Times New Roman"/>
          <w:sz w:val="19"/>
          <w:szCs w:val="19"/>
          <w:color w:val="auto"/>
        </w:rPr>
        <w:t>In the first quarter, we continued our focus on cost optimization and aligned our operations accordingly. The plan aims to drive operational efficiency, reduce costs, accelerate our path to profitability and reinforce our primary focus as an energy and subscription-based business based on our energy platform leadership. Gogoro is expected to create approximately $25 million savings in 2025 compared to 2024 as a result of the cost efficiency plans. We expect our Gogoro Network Battery Swapping business to reach profitability on a non-IFRS basis and deliver non-IFRS net income in 2026 and our hardware sales business to reach profitability on a non-IFRS basis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2025 Guidance</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We believe the Taiwan two-wheeler market in 2025 will remain approximately the same as 2024. For the full year of 2025, we reiterate our revenue forecast of between $295 million to $315 million on a constant currency basis. We estimate that approximately 95% of such full-year revenue will be generated from the Taiwan market. Our gross margin may be continuously negatively impacted in the short term because of our ongoing and accelerated battery upgrade initiatives which are expected to be completed by the end of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Conference Call Information</w:t>
      </w:r>
    </w:p>
    <w:p>
      <w:pPr>
        <w:spacing w:after="0" w:line="233"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color w:val="auto"/>
        </w:rPr>
        <w:t>Gogoro’s management team will hold an earnings webcast on May 8, 2025, at 8:00 a.m. Eastern Time to discuss the Company’s first quarter 2025 results of operations and outlook.</w:t>
      </w:r>
    </w:p>
    <w:p>
      <w:pPr>
        <w:spacing w:after="0" w:line="200"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20"/>
          <w:szCs w:val="20"/>
          <w:color w:val="auto"/>
        </w:rPr>
        <w:t xml:space="preserve">Investors may access the webcast, supplemental financial information and investor presentation at Gogoro’s investor relations website </w:t>
      </w:r>
      <w:r>
        <w:rPr>
          <w:rFonts w:ascii="Times New Roman" w:cs="Times New Roman" w:eastAsia="Times New Roman" w:hAnsi="Times New Roman"/>
          <w:sz w:val="20"/>
          <w:szCs w:val="20"/>
          <w:color w:val="0000FF"/>
        </w:rPr>
        <w:t xml:space="preserve">(https://investor.gogoro.com) </w:t>
      </w:r>
      <w:r>
        <w:rPr>
          <w:rFonts w:ascii="Times New Roman" w:cs="Times New Roman" w:eastAsia="Times New Roman" w:hAnsi="Times New Roman"/>
          <w:sz w:val="20"/>
          <w:szCs w:val="20"/>
          <w:color w:val="000000"/>
        </w:rPr>
        <w:t>under the “Events” section. A replay of the investor presentation and the earnings call script will be available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24 hours after the conclusion of the webcast and archived for one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About Gogoro</w:t>
      </w:r>
    </w:p>
    <w:p>
      <w:pPr>
        <w:spacing w:after="0" w:line="23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color w:val="auto"/>
        </w:rPr>
        <w:t xml:space="preserve">Founded in 2011 to rethink urban energy and inspire the world to move through cities in smarter and more sustainable ways, Gogoro leverages the power of innovation to change the way urban energy is distributed and consumed. Recognized by Fortune as a “Change the World 2024” company; Fast Company as “Asia-Pacific’s Most Innovative Company of 2024”; Frost &amp; Sullivan as the “2024 Global Company of the Year for battery swapping for electric two-wheel vehicles”; and, MIT Technology Review as one of “15 Climate Tech Companies to Watch” in 2024,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charging and availability. The challenge is massive, but the opportunity to disrupt the status quo, establish new standards, and achieve new levels of sustainable transportation growth in densely populated cities is even greater. For more information, visit </w:t>
      </w:r>
      <w:r>
        <w:rPr>
          <w:rFonts w:ascii="Times New Roman" w:cs="Times New Roman" w:eastAsia="Times New Roman" w:hAnsi="Times New Roman"/>
          <w:sz w:val="20"/>
          <w:szCs w:val="20"/>
          <w:color w:val="3051F2"/>
        </w:rPr>
        <w:t>www.gogoro.com/news</w:t>
      </w:r>
      <w:r>
        <w:rPr>
          <w:rFonts w:ascii="Times New Roman" w:cs="Times New Roman" w:eastAsia="Times New Roman" w:hAnsi="Times New Roman"/>
          <w:sz w:val="20"/>
          <w:szCs w:val="20"/>
          <w:color w:val="auto"/>
        </w:rPr>
        <w:t xml:space="preserve"> and follow Gogoro on Twitter: </w:t>
      </w:r>
      <w:r>
        <w:rPr>
          <w:rFonts w:ascii="Times New Roman" w:cs="Times New Roman" w:eastAsia="Times New Roman" w:hAnsi="Times New Roman"/>
          <w:sz w:val="20"/>
          <w:szCs w:val="20"/>
          <w:color w:val="3051F2"/>
        </w:rPr>
        <w:t>@wearegogoro</w:t>
      </w:r>
      <w:r>
        <w:rPr>
          <w:rFonts w:ascii="Times New Roman" w:cs="Times New Roman" w:eastAsia="Times New Roman" w:hAnsi="Times New Roman"/>
          <w:sz w:val="20"/>
          <w:szCs w:val="20"/>
          <w:color w:val="0000FF"/>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Forward-Looking Statements</w:t>
      </w:r>
    </w:p>
    <w:p>
      <w:pPr>
        <w:spacing w:after="0" w:line="22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"2025 Guidance," such as estimates regarding Taiwan two-wheeler market and our revenue and gross margin; statements in the section entitled, "2025 Cost Reduction/Efficiency Plans," such as estimated savings as a result of the cost reduction/efficiency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044"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20"/>
          <w:szCs w:val="20"/>
          <w:color w:val="auto"/>
        </w:rPr>
        <w:t>and future profitability of Gogoro's business; statements by Gogoro's interim chief executive officer and chief financial officer, such as Gogoro's future business plan and growth strategies and Gogoro's future profitability; and Gogoro's battery pack upgrade initiatives (and its expected costs and benefits).</w:t>
      </w:r>
    </w:p>
    <w:p>
      <w:pPr>
        <w:spacing w:after="0" w:line="19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color w:val="auto"/>
        </w:rPr>
        <w:t xml:space="preserve">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2024, which was filed on March 31, 2025 and in its subsequent filings with the SEC, copies of which are available on the SEC's website at </w:t>
      </w:r>
      <w:r>
        <w:rPr>
          <w:rFonts w:ascii="Times New Roman" w:cs="Times New Roman" w:eastAsia="Times New Roman" w:hAnsi="Times New Roman"/>
          <w:sz w:val="20"/>
          <w:szCs w:val="20"/>
          <w:color w:val="0000FF"/>
        </w:rPr>
        <w:t>www.sec.gov</w:t>
      </w:r>
      <w:r>
        <w:rPr>
          <w:rFonts w:ascii="Times New Roman" w:cs="Times New Roman" w:eastAsia="Times New Roman" w:hAnsi="Times New Roman"/>
          <w:sz w:val="20"/>
          <w:szCs w:val="20"/>
          <w:color w:val="000000"/>
        </w:rPr>
        <w:t>. The forward-looking statements in this communication are based on information available to Gogoro as of the date hereof,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Gogoro disclaims any obligation to update any forward-looking statements, except as required by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22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0"/>
          <w:szCs w:val="20"/>
          <w:color w:val="auto"/>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2025 will be included in the Company's Annual Report on Form 20-F for the year ending December 31, 2025. Accordingly, these condensed consolidated financial statements should be read in conjunction with the audited consolidated financial statements and related notes for the year ended December 31, 2024 included in the Company’s Annual Report on Form 20-F filed with the SEC on March 31, 2025, which provides a more complete discussion of the Company’s accounting policies and certain other information. The condensed consolidated financial statements may include selected updates, notes and disclosures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 w:right="339" w:bottom="1440" w:gutter="0" w:footer="0" w:header="0"/>
        </w:sectPr>
      </w:pPr>
    </w:p>
    <w:bookmarkStart w:id="9" w:name="page10"/>
    <w:bookmarkEnd w:id="9"/>
    <w:p>
      <w:pPr>
        <w:ind w:right="100"/>
        <w:spacing w:after="0" w:line="297" w:lineRule="auto"/>
        <w:rPr>
          <w:sz w:val="20"/>
          <w:szCs w:val="20"/>
          <w:color w:val="auto"/>
        </w:rPr>
      </w:pPr>
      <w:r>
        <w:rPr>
          <w:rFonts w:ascii="Times New Roman" w:cs="Times New Roman" w:eastAsia="Times New Roman" w:hAnsi="Times New Roman"/>
          <w:sz w:val="20"/>
          <w:szCs w:val="20"/>
          <w:color w:val="auto"/>
        </w:rPr>
        <w:t>there are significant changes since the date of the most recent annual report on Form 20-F which included the audited financial statements of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20"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non-IFRS financial measures including foreign exchange effect on operating revenues, non-IFRS gross profit, non-IFRS gross margin, non-IFRS net loss, EBITDA and adjusted EBITDA.</w:t>
      </w:r>
    </w:p>
    <w:p>
      <w:pPr>
        <w:spacing w:after="0" w:line="16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Foreign exchange ("FX") effect on operating revenues. </w:t>
      </w:r>
      <w:r>
        <w:rPr>
          <w:rFonts w:ascii="Times New Roman" w:cs="Times New Roman" w:eastAsia="Times New Roman" w:hAnsi="Times New Roman"/>
          <w:sz w:val="20"/>
          <w:szCs w:val="20"/>
          <w:color w:val="auto"/>
        </w:rPr>
        <w:t>We compare the dollar amount and the percent change in the operating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197" w:lineRule="exact"/>
        <w:rPr>
          <w:sz w:val="20"/>
          <w:szCs w:val="20"/>
          <w:color w:val="auto"/>
        </w:rPr>
      </w:pPr>
    </w:p>
    <w:p>
      <w:pPr>
        <w:ind w:right="58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Non-IFRS Gross Profit and Gross Margin. </w:t>
      </w:r>
      <w:r>
        <w:rPr>
          <w:rFonts w:ascii="Times New Roman" w:cs="Times New Roman" w:eastAsia="Times New Roman" w:hAnsi="Times New Roman"/>
          <w:sz w:val="20"/>
          <w:szCs w:val="20"/>
          <w:color w:val="auto"/>
        </w:rPr>
        <w:t>Gogoro defines non-IFRS gross profit and gross margin as gross profit and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share-based compensation, battery upgrade initiatives and battery swapping service rebate.</w:t>
      </w:r>
    </w:p>
    <w:p>
      <w:pPr>
        <w:spacing w:after="0" w:line="19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Share-based Compensation. </w:t>
      </w:r>
      <w:r>
        <w:rPr>
          <w:rFonts w:ascii="Times New Roman" w:cs="Times New Roman" w:eastAsia="Times New Roman" w:hAnsi="Times New Roman"/>
          <w:sz w:val="20"/>
          <w:szCs w:val="20"/>
          <w:color w:val="auto"/>
        </w:rPr>
        <w:t>Share-based compensation consists of non-cash charges related to the fair value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spacing w:after="0" w:line="148"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Non-IFRS Net Loss. </w:t>
      </w:r>
      <w:r>
        <w:rPr>
          <w:rFonts w:ascii="Times New Roman" w:cs="Times New Roman" w:eastAsia="Times New Roman" w:hAnsi="Times New Roman"/>
          <w:sz w:val="20"/>
          <w:szCs w:val="20"/>
          <w:color w:val="auto"/>
        </w:rPr>
        <w:t>Gogoro defines non-IFRS net loss as net loss excluding share-based compensation, the change in fair value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depreciation, and amortization.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do not reflect the impact of any related tax effects.</w:t>
      </w:r>
    </w:p>
    <w:p>
      <w:pPr>
        <w:spacing w:after="0" w:line="277" w:lineRule="exact"/>
        <w:rPr>
          <w:sz w:val="20"/>
          <w:szCs w:val="20"/>
          <w:color w:val="auto"/>
        </w:rPr>
      </w:pPr>
    </w:p>
    <w:p>
      <w:pPr>
        <w:jc w:val="both"/>
        <w:ind w:right="600"/>
        <w:spacing w:after="0" w:line="305" w:lineRule="auto"/>
        <w:rPr>
          <w:sz w:val="20"/>
          <w:szCs w:val="20"/>
          <w:color w:val="auto"/>
        </w:rPr>
      </w:pPr>
      <w:r>
        <w:rPr>
          <w:rFonts w:ascii="Times New Roman" w:cs="Times New Roman" w:eastAsia="Times New Roman" w:hAnsi="Times New Roman"/>
          <w:sz w:val="19"/>
          <w:szCs w:val="19"/>
          <w:b w:val="1"/>
          <w:bCs w:val="1"/>
          <w:color w:val="auto"/>
        </w:rPr>
        <w:t xml:space="preserve">Adjusted EBITDA. </w:t>
      </w:r>
      <w:r>
        <w:rPr>
          <w:rFonts w:ascii="Times New Roman" w:cs="Times New Roman" w:eastAsia="Times New Roman" w:hAnsi="Times New Roman"/>
          <w:sz w:val="19"/>
          <w:szCs w:val="19"/>
          <w:color w:val="auto"/>
        </w:rPr>
        <w:t>Gogoro defines Adjusted EBITDA as EBITDA excluding share-based compensation, the change in fair value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93"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Battery Upgrade Initiatives. </w:t>
      </w:r>
      <w:r>
        <w:rPr>
          <w:rFonts w:ascii="Times New Roman" w:cs="Times New Roman" w:eastAsia="Times New Roman" w:hAnsi="Times New Roman"/>
          <w:sz w:val="20"/>
          <w:szCs w:val="20"/>
          <w:color w:val="auto"/>
        </w:rPr>
        <w:t>As we perform certain voluntary upgrades to our battery packs, this charge represents the (i) derecognition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on components removed from the battery pack, which we do not expect to generate any future benefits from its disposal and (ii) battery pack retrieval and other directly attributable costs incurred during the battery upgrades. We will only upgrade battery packs in instances where the value created exceeds the cost of the upgrade. The program will improve batteries' capacity and extend the remaining useful life of certain battery packs. The derecognition expense and the retrieval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0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and retrieval and other costs to recur in future periods as incurred during the implementation phase of the battery upgrade program.</w:t>
      </w:r>
    </w:p>
    <w:p>
      <w:pPr>
        <w:spacing w:after="0" w:line="217" w:lineRule="exact"/>
        <w:rPr>
          <w:sz w:val="20"/>
          <w:szCs w:val="20"/>
          <w:color w:val="auto"/>
        </w:rPr>
      </w:pPr>
    </w:p>
    <w:p>
      <w:pPr>
        <w:ind w:left="20" w:right="30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Battery Swapping Service Rebate. </w:t>
      </w:r>
      <w:r>
        <w:rPr>
          <w:rFonts w:ascii="Times New Roman" w:cs="Times New Roman" w:eastAsia="Times New Roman" w:hAnsi="Times New Roman"/>
          <w:sz w:val="20"/>
          <w:szCs w:val="20"/>
          <w:color w:val="auto"/>
        </w:rPr>
        <w:t>We voluntarily offered one-time subscription fee discounts to certain subscribers of Gogoro Network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spacing w:after="0" w:line="220"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interest expense, income tax, depreciation and amortization, change in fair value of financial liabilities associated with outstanding earnout shares, earn-in shares and warrants associated with the merger of Poema, battery upgrade initiative, and battery swapping service rebate.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22"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240"/>
          </w:cols>
          <w:pgMar w:left="320" w:top="100"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320" w:space="720"/>
            <w:col w:w="5200"/>
          </w:cols>
          <w:pgMar w:left="320" w:top="1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666666"/>
        </w:rPr>
        <w:t>press@gogoro.com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ir@gogoro.com</w:t>
      </w:r>
    </w:p>
    <w:p>
      <w:pPr>
        <w:spacing w:after="0" w:line="200" w:lineRule="exact"/>
        <w:rPr>
          <w:sz w:val="20"/>
          <w:szCs w:val="20"/>
          <w:color w:val="auto"/>
        </w:rPr>
      </w:pPr>
    </w:p>
    <w:p>
      <w:pPr>
        <w:sectPr>
          <w:pgSz w:w="11900" w:h="16838" w:orient="portrait"/>
          <w:cols w:equalWidth="0" w:num="2">
            <w:col w:w="5320" w:space="720"/>
            <w:col w:w="520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0" w:right="3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2</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160" w:type="dxa"/>
            <w:vAlign w:val="bottom"/>
          </w:tcPr>
          <w:p>
            <w:pPr>
              <w:spacing w:after="0"/>
              <w:rPr>
                <w:sz w:val="17"/>
                <w:szCs w:val="17"/>
                <w:color w:val="auto"/>
              </w:rPr>
            </w:pPr>
          </w:p>
        </w:tc>
        <w:tc>
          <w:tcPr>
            <w:tcW w:w="1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1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0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receivables</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16,977</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r>
              <w:rPr>
                <w:rFonts w:ascii="Times New Roman" w:cs="Times New Roman" w:eastAsia="Times New Roman" w:hAnsi="Times New Roman"/>
                <w:sz w:val="18"/>
                <w:szCs w:val="18"/>
                <w:color w:val="auto"/>
                <w:vertAlign w:val="superscript"/>
              </w:rPr>
              <w:t>2</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44,972</w:t>
            </w:r>
          </w:p>
        </w:tc>
      </w:tr>
      <w:tr>
        <w:trPr>
          <w:trHeight w:val="19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assets, current</w:t>
            </w:r>
          </w:p>
        </w:tc>
        <w:tc>
          <w:tcPr>
            <w:tcW w:w="1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18,808</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23,727</w:t>
            </w:r>
          </w:p>
        </w:tc>
      </w:tr>
      <w:tr>
        <w:trPr>
          <w:trHeight w:val="196"/>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assets</w:t>
            </w:r>
          </w:p>
        </w:tc>
        <w:tc>
          <w:tcPr>
            <w:tcW w:w="1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172,794</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202,824</w:t>
            </w:r>
          </w:p>
        </w:tc>
      </w:tr>
      <w:tr>
        <w:trPr>
          <w:trHeight w:val="243"/>
        </w:trPr>
        <w:tc>
          <w:tcPr>
            <w:tcW w:w="7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3"/>
        </w:trPr>
        <w:tc>
          <w:tcPr>
            <w:tcW w:w="7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Property, plant and equipment</w:t>
            </w:r>
            <w:r>
              <w:rPr>
                <w:rFonts w:ascii="Times New Roman" w:cs="Times New Roman" w:eastAsia="Times New Roman" w:hAnsi="Times New Roman"/>
                <w:sz w:val="18"/>
                <w:szCs w:val="18"/>
                <w:color w:val="auto"/>
                <w:vertAlign w:val="superscript"/>
              </w:rPr>
              <w:t>2</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427,657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438,255</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35,303</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accounted for using equity method</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19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 non-current</w:t>
            </w:r>
          </w:p>
        </w:tc>
        <w:tc>
          <w:tcPr>
            <w:tcW w:w="1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7,928</w:t>
            </w:r>
          </w:p>
        </w:tc>
      </w:tr>
      <w:tr>
        <w:trPr>
          <w:trHeight w:val="228"/>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1300" w:type="dxa"/>
            <w:vAlign w:val="bottom"/>
            <w:tcBorders>
              <w:bottom w:val="single" w:sz="8" w:color="auto"/>
            </w:tcBorders>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657,578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700,427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Borrowings, current</w:t>
            </w:r>
          </w:p>
        </w:tc>
        <w:tc>
          <w:tcPr>
            <w:tcW w:w="130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103,018</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liabilities at fair value through profit or loss</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and trade payables</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29,351</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liabilities at amortized cost, current</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24,586</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Provisions, current</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r>
      <w:tr>
        <w:trPr>
          <w:trHeight w:val="19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1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30,875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40,465</w:t>
            </w:r>
          </w:p>
        </w:tc>
      </w:tr>
      <w:tr>
        <w:trPr>
          <w:trHeight w:val="196"/>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212,765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225,629</w:t>
            </w:r>
          </w:p>
        </w:tc>
      </w:tr>
      <w:tr>
        <w:trPr>
          <w:trHeight w:val="189"/>
        </w:trPr>
        <w:tc>
          <w:tcPr>
            <w:tcW w:w="7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non-current</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250,536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253,750</w:t>
            </w: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Provisions, non-current</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9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16,123</w:t>
            </w:r>
          </w:p>
        </w:tc>
      </w:tr>
      <w:tr>
        <w:trPr>
          <w:trHeight w:val="196"/>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1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499,036</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523,887</w:t>
            </w:r>
          </w:p>
        </w:tc>
      </w:tr>
      <w:tr>
        <w:trPr>
          <w:trHeight w:val="203"/>
        </w:trPr>
        <w:tc>
          <w:tcPr>
            <w:tcW w:w="7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158,542</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176,540</w:t>
            </w:r>
          </w:p>
        </w:tc>
      </w:tr>
      <w:tr>
        <w:trPr>
          <w:trHeight w:val="203"/>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30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657,578</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700,427</w:t>
            </w:r>
          </w:p>
        </w:tc>
      </w:tr>
      <w:tr>
        <w:trPr>
          <w:trHeight w:val="20"/>
        </w:trPr>
        <w:tc>
          <w:tcPr>
            <w:tcW w:w="7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160" w:type="dxa"/>
            <w:vAlign w:val="bottom"/>
          </w:tcPr>
          <w:p>
            <w:pPr>
              <w:spacing w:after="0"/>
              <w:rPr>
                <w:sz w:val="17"/>
                <w:szCs w:val="17"/>
                <w:color w:val="auto"/>
              </w:rPr>
            </w:pPr>
          </w:p>
        </w:tc>
        <w:tc>
          <w:tcPr>
            <w:tcW w:w="1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5"/>
        </w:trPr>
        <w:tc>
          <w:tcPr>
            <w:tcW w:w="7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Raw materials</w:t>
            </w:r>
          </w:p>
        </w:tc>
        <w:tc>
          <w:tcPr>
            <w:tcW w:w="13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22,003</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23,337</w:t>
            </w:r>
          </w:p>
        </w:tc>
      </w:tr>
      <w:tr>
        <w:trPr>
          <w:trHeight w:val="21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Semi-finished goods</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9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Merchandise</w:t>
            </w:r>
          </w:p>
        </w:tc>
        <w:tc>
          <w:tcPr>
            <w:tcW w:w="1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15,217</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18,968</w:t>
            </w:r>
          </w:p>
        </w:tc>
      </w:tr>
      <w:tr>
        <w:trPr>
          <w:trHeight w:val="228"/>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inventories</w:t>
            </w: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41,767</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62" w:lineRule="exact"/>
        <w:rPr>
          <w:sz w:val="20"/>
          <w:szCs w:val="20"/>
          <w:color w:val="auto"/>
        </w:rPr>
      </w:pPr>
    </w:p>
    <w:p>
      <w:pPr>
        <w:ind w:left="80" w:right="260" w:hanging="72"/>
        <w:spacing w:after="0" w:line="322" w:lineRule="auto"/>
        <w:tabs>
          <w:tab w:leader="none" w:pos="86"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March 31, 2025 and December 31, 2024, the company classified $23.5 million and $27.7 million, respectively of undeployed battery packs and related battery cells in property, plant and equipment based on the company's deployment plan for the next 12 months.</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0"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 of U.S. dollars, except net loss per share)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24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0" w:type="dxa"/>
            <w:vAlign w:val="bottom"/>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69,711</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60,515</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65,238</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0" w:type="dxa"/>
            <w:vAlign w:val="bottom"/>
          </w:tcPr>
          <w:p>
            <w:pPr>
              <w:spacing w:after="0"/>
              <w:rPr>
                <w:sz w:val="1"/>
                <w:szCs w:val="1"/>
                <w:color w:val="auto"/>
              </w:rPr>
            </w:pPr>
          </w:p>
        </w:tc>
      </w:tr>
      <w:tr>
        <w:trPr>
          <w:trHeight w:val="175"/>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w:t>
            </w:r>
          </w:p>
        </w:tc>
        <w:tc>
          <w:tcPr>
            <w:tcW w:w="0" w:type="dxa"/>
            <w:vAlign w:val="bottom"/>
          </w:tcPr>
          <w:p>
            <w:pPr>
              <w:spacing w:after="0"/>
              <w:rPr>
                <w:sz w:val="1"/>
                <w:szCs w:val="1"/>
                <w:color w:val="auto"/>
              </w:rPr>
            </w:pPr>
          </w:p>
        </w:tc>
      </w:tr>
      <w:tr>
        <w:trPr>
          <w:trHeight w:val="195"/>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9,369</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20,214</w:t>
            </w:r>
          </w:p>
        </w:tc>
        <w:tc>
          <w:tcPr>
            <w:tcW w:w="1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29,770</w:t>
            </w: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(17,108)</w:t>
            </w: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(25,297)</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and expenses:</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0" w:type="dxa"/>
            <w:vAlign w:val="bottom"/>
          </w:tcPr>
          <w:p>
            <w:pPr>
              <w:spacing w:after="0"/>
              <w:rPr>
                <w:sz w:val="1"/>
                <w:szCs w:val="1"/>
                <w:color w:val="auto"/>
              </w:rPr>
            </w:pPr>
          </w:p>
        </w:tc>
      </w:tr>
      <w:tr>
        <w:trPr>
          <w:trHeight w:val="195"/>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13,198</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non-operating (expense) income</w:t>
            </w: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(18,562)</w:t>
            </w:r>
          </w:p>
        </w:tc>
        <w:tc>
          <w:tcPr>
            <w:tcW w:w="1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(13,127)</w:t>
            </w:r>
          </w:p>
        </w:tc>
        <w:tc>
          <w:tcPr>
            <w:tcW w:w="0" w:type="dxa"/>
            <w:vAlign w:val="bottom"/>
          </w:tcPr>
          <w:p>
            <w:pPr>
              <w:spacing w:after="0"/>
              <w:rPr>
                <w:sz w:val="1"/>
                <w:szCs w:val="1"/>
                <w:color w:val="auto"/>
              </w:rPr>
            </w:pPr>
          </w:p>
        </w:tc>
      </w:tr>
      <w:tr>
        <w:trPr>
          <w:trHeight w:val="175"/>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(8,319)</w:t>
            </w: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(20,665)</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(21,446)</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Pr>
          <w:p>
            <w:pPr>
              <w:spacing w:after="0"/>
              <w:rPr>
                <w:sz w:val="16"/>
                <w:szCs w:val="16"/>
                <w:color w:val="auto"/>
              </w:rPr>
            </w:pP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and diluted net loss per share</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287,736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235,942</w:t>
            </w:r>
          </w:p>
        </w:tc>
        <w:tc>
          <w:tcPr>
            <w:tcW w:w="0" w:type="dxa"/>
            <w:vAlign w:val="bottom"/>
          </w:tcPr>
          <w:p>
            <w:pPr>
              <w:spacing w:after="0"/>
              <w:rPr>
                <w:sz w:val="1"/>
                <w:szCs w:val="1"/>
                <w:color w:val="auto"/>
              </w:rPr>
            </w:pPr>
          </w:p>
        </w:tc>
      </w:tr>
      <w:tr>
        <w:trPr>
          <w:trHeight w:val="328"/>
        </w:trPr>
        <w:tc>
          <w:tcPr>
            <w:tcW w:w="7220" w:type="dxa"/>
            <w:vAlign w:val="bottom"/>
          </w:tcPr>
          <w:p>
            <w:pPr>
              <w:spacing w:after="0"/>
              <w:rPr>
                <w:sz w:val="24"/>
                <w:szCs w:val="24"/>
                <w:color w:val="auto"/>
              </w:rPr>
            </w:pPr>
          </w:p>
        </w:tc>
        <w:tc>
          <w:tcPr>
            <w:tcW w:w="324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1200" w:type="dxa"/>
            <w:vAlign w:val="bottom"/>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29,148</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37,258</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34,473</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32,453</w:t>
            </w:r>
          </w:p>
        </w:tc>
        <w:tc>
          <w:tcPr>
            <w:tcW w:w="0" w:type="dxa"/>
            <w:vAlign w:val="bottom"/>
          </w:tcPr>
          <w:p>
            <w:pPr>
              <w:spacing w:after="0"/>
              <w:rPr>
                <w:sz w:val="1"/>
                <w:szCs w:val="1"/>
                <w:color w:val="auto"/>
              </w:rPr>
            </w:pPr>
          </w:p>
        </w:tc>
      </w:tr>
      <w:tr>
        <w:trPr>
          <w:trHeight w:val="228"/>
        </w:trPr>
        <w:tc>
          <w:tcPr>
            <w:tcW w:w="7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63,621</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220" w:type="dxa"/>
            <w:vAlign w:val="bottom"/>
          </w:tcPr>
          <w:p>
            <w:pPr>
              <w:spacing w:after="0"/>
              <w:rPr>
                <w:sz w:val="23"/>
                <w:szCs w:val="23"/>
                <w:color w:val="auto"/>
              </w:rPr>
            </w:pPr>
          </w:p>
        </w:tc>
        <w:tc>
          <w:tcPr>
            <w:tcW w:w="324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1200" w:type="dxa"/>
            <w:vAlign w:val="bottom"/>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5"/>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28"/>
        </w:trPr>
        <w:tc>
          <w:tcPr>
            <w:tcW w:w="7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80" w:top="1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50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(18,562)</w:t>
            </w:r>
          </w:p>
        </w:tc>
        <w:tc>
          <w:tcPr>
            <w:tcW w:w="220" w:type="dxa"/>
            <w:vAlign w:val="bottom"/>
          </w:tcPr>
          <w:p>
            <w:pPr>
              <w:spacing w:after="0"/>
              <w:rPr>
                <w:sz w:val="16"/>
                <w:szCs w:val="16"/>
                <w:color w:val="auto"/>
              </w:rPr>
            </w:pPr>
          </w:p>
        </w:tc>
        <w:tc>
          <w:tcPr>
            <w:tcW w:w="130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(13,127)</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22,285</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24,680</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losses associated with facilities, inventories and receivables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(13,198)</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 net</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Recognition of provisions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receivables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and trade payables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(7,651)</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18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generated from operations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paid, net</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r>
      <w:tr>
        <w:trPr>
          <w:trHeight w:val="19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generated from operating activities</w:t>
            </w: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property, plant and equipment, net</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(17,873)</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(34,419)</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refundable deposits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intangible assets, net</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(increase) in other financial assets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(15,309)</w:t>
            </w: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(34,774)</w:t>
            </w: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(8,678)</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Guarantee deposits received (refund)</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the principal portion of lease liabilities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w:t>
            </w:r>
          </w:p>
        </w:tc>
      </w:tr>
      <w:tr>
        <w:trPr>
          <w:trHeight w:val="19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0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r>
      <w:tr>
        <w:trPr>
          <w:trHeight w:val="189"/>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(23,869)</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(41,371)</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c>
          <w:tcPr>
            <w:tcW w:w="2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173,885</w:t>
            </w:r>
          </w:p>
        </w:tc>
      </w:t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130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93,279</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132,514</w:t>
            </w:r>
          </w:p>
        </w:tc>
      </w:tr>
      <w:tr>
        <w:trPr>
          <w:trHeight w:val="27"/>
        </w:trPr>
        <w:tc>
          <w:tcPr>
            <w:tcW w:w="7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Exchange Difference on</w:t>
            </w:r>
          </w:p>
        </w:tc>
        <w:tc>
          <w:tcPr>
            <w:tcW w:w="160" w:type="dxa"/>
            <w:vAlign w:val="bottom"/>
          </w:tcPr>
          <w:p>
            <w:pPr>
              <w:spacing w:after="0"/>
              <w:rPr>
                <w:sz w:val="13"/>
                <w:szCs w:val="13"/>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4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(548,732)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176,540</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for the three months ended March 31, 2025</w:t>
            </w:r>
          </w:p>
        </w:tc>
        <w:tc>
          <w:tcPr>
            <w:tcW w:w="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(18,562)</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135"/>
        </w:trPr>
        <w:tc>
          <w:tcPr>
            <w:tcW w:w="3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Changes in percentage of ownership interest in investments</w:t>
            </w:r>
          </w:p>
        </w:tc>
        <w:tc>
          <w:tcPr>
            <w:tcW w:w="80" w:type="dxa"/>
            <w:vAlign w:val="bottom"/>
          </w:tcPr>
          <w:p>
            <w:pPr>
              <w:spacing w:after="0"/>
              <w:rPr>
                <w:sz w:val="11"/>
                <w:szCs w:val="11"/>
                <w:color w:val="auto"/>
              </w:rPr>
            </w:pPr>
          </w:p>
        </w:tc>
        <w:tc>
          <w:tcPr>
            <w:tcW w:w="12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1,584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8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20" w:type="dxa"/>
            <w:vAlign w:val="bottom"/>
            <w:gridSpan w:val="2"/>
          </w:tcPr>
          <w:p>
            <w:pPr>
              <w:ind w:left="150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1,584</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accounted for using equity method</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Shared-based compensation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737,127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(567,294)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158,542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60" w:top="1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IFRS Financial Metrics to Non-IFRS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Pr>
          <w:p>
            <w:pPr>
              <w:spacing w:after="0"/>
              <w:rPr>
                <w:sz w:val="24"/>
                <w:szCs w:val="2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8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10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160" w:type="dxa"/>
            <w:vAlign w:val="bottom"/>
          </w:tcPr>
          <w:p>
            <w:pPr>
              <w:spacing w:after="0"/>
              <w:rPr>
                <w:sz w:val="24"/>
                <w:szCs w:val="24"/>
                <w:color w:val="auto"/>
              </w:rPr>
            </w:pPr>
          </w:p>
        </w:tc>
        <w:tc>
          <w:tcPr>
            <w:tcW w:w="11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IFRS revenue YoY</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Revenue excluding FX</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effect YoY change %</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37,258</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36,059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32,453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40" w:type="dxa"/>
            <w:vAlign w:val="bottom"/>
            <w:gridSpan w:val="8"/>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and gross margin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Battery upgrade initiatives </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Non-IFRS gross profit and gross margin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10,526</w:t>
            </w:r>
          </w:p>
        </w:tc>
        <w:tc>
          <w:tcPr>
            <w:tcW w:w="9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gridSpan w:val="5"/>
          </w:tcPr>
          <w:p>
            <w:pPr>
              <w:spacing w:after="0" w:line="20" w:lineRule="exact"/>
              <w:rPr>
                <w:sz w:val="1"/>
                <w:szCs w:val="1"/>
                <w:color w:val="auto"/>
              </w:rPr>
            </w:pPr>
          </w:p>
        </w:tc>
        <w:tc>
          <w:tcPr>
            <w:tcW w:w="1380" w:type="dxa"/>
            <w:vAlign w:val="bottom"/>
            <w:tcBorders>
              <w:top w:val="single" w:sz="8" w:color="CCEEFF"/>
              <w:bottom w:val="single" w:sz="8" w:color="auto"/>
            </w:tcBorders>
            <w:gridSpan w:val="3"/>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40" w:type="dxa"/>
            <w:vAlign w:val="bottom"/>
            <w:gridSpan w:val="8"/>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6"/>
              </w:rPr>
              <w:t>(18,562)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1,083</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(1,783)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0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4"/>
                <w:szCs w:val="14"/>
                <w:color w:val="auto"/>
              </w:rPr>
              <w:t xml:space="preserve">Battery upgrade initiatives </w:t>
            </w:r>
            <w:r>
              <w:rPr>
                <w:rFonts w:ascii="Times New Roman" w:cs="Times New Roman" w:eastAsia="Times New Roman" w:hAnsi="Times New Roman"/>
                <w:sz w:val="18"/>
                <w:szCs w:val="18"/>
                <w:color w:val="auto"/>
                <w:vertAlign w:val="superscript"/>
              </w:rPr>
              <w:t>3</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8,347</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Non-IFRS net loss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color w:val="auto"/>
                <w:w w:val="96"/>
              </w:rPr>
              <w:t>(10,915)</w:t>
            </w:r>
          </w:p>
        </w:tc>
        <w:tc>
          <w:tcPr>
            <w:tcW w:w="16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(17,176)</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40" w:type="dxa"/>
            <w:vAlign w:val="bottom"/>
            <w:gridSpan w:val="8"/>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6"/>
              </w:rPr>
              <w:t>(18,562)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2,950</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22,285</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24,680</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6,673</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1,083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(1,783)</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Battery upgrade initiatives </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8,347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14,320</w:t>
            </w: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10,232</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8" w:lineRule="exact"/>
        <w:rPr>
          <w:sz w:val="20"/>
          <w:szCs w:val="20"/>
          <w:color w:val="auto"/>
        </w:rPr>
      </w:pPr>
    </w:p>
    <w:p>
      <w:pPr>
        <w:ind w:right="40" w:firstLine="8"/>
        <w:spacing w:after="0" w:line="261" w:lineRule="auto"/>
        <w:tabs>
          <w:tab w:leader="none" w:pos="8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three months ended March 31, 2024 battery upgrade initiatives amount includes retrieval and other attributable costs which previously were not reported in our unaudited Reconciliations of IFRS Financial Metrics to Non-IFRS tables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2025-05-08T05:20:31Z</dcterms:created>
  <dcterms:modified xsi:type="dcterms:W3CDTF">2025-05-08T05:20:31Z</dcterms:modified>
</cp:coreProperties>
</file>