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UNITED STATES</w:t>
      </w:r>
    </w:p>
    <w:p>
      <w:pPr>
        <w:jc w:val="center"/>
        <w:ind w:right="-47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Report of Foreign Private Issuer</w:t>
      </w:r>
    </w:p>
    <w:p>
      <w:pPr>
        <w:jc w:val="center"/>
        <w:ind w:right="-419"/>
        <w:spacing w:after="0" w:line="204" w:lineRule="auto"/>
        <w:rPr>
          <w:sz w:val="20"/>
          <w:szCs w:val="20"/>
          <w:color w:val="auto"/>
        </w:rPr>
      </w:pPr>
      <w:r>
        <w:rPr>
          <w:rFonts w:ascii="Arial" w:cs="Arial" w:eastAsia="Arial" w:hAnsi="Arial"/>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64"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May 2023</w:t>
      </w:r>
    </w:p>
    <w:p>
      <w:pPr>
        <w:spacing w:after="0" w:line="19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4120"/>
        <w:spacing w:after="0"/>
        <w:rPr>
          <w:sz w:val="20"/>
          <w:szCs w:val="20"/>
          <w:color w:val="auto"/>
        </w:rPr>
      </w:pPr>
      <w:r>
        <w:rPr>
          <w:rFonts w:ascii="Arial" w:cs="Arial" w:eastAsia="Arial" w:hAnsi="Arial"/>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11F, Building C,</w:t>
      </w:r>
    </w:p>
    <w:p>
      <w:pPr>
        <w:ind w:left="4260"/>
        <w:spacing w:after="0" w:line="205" w:lineRule="auto"/>
        <w:rPr>
          <w:sz w:val="20"/>
          <w:szCs w:val="20"/>
          <w:color w:val="auto"/>
        </w:rPr>
      </w:pPr>
      <w:r>
        <w:rPr>
          <w:rFonts w:ascii="Arial" w:cs="Arial" w:eastAsia="Arial" w:hAnsi="Arial"/>
          <w:sz w:val="18"/>
          <w:szCs w:val="18"/>
          <w:b w:val="1"/>
          <w:bCs w:val="1"/>
          <w:color w:val="auto"/>
        </w:rPr>
        <w:t>No. 225, Section 2, Chang’an E. Rd.</w:t>
      </w:r>
    </w:p>
    <w:p>
      <w:pPr>
        <w:jc w:val="center"/>
        <w:ind w:right="-479"/>
        <w:spacing w:after="0" w:line="204" w:lineRule="auto"/>
        <w:rPr>
          <w:sz w:val="20"/>
          <w:szCs w:val="20"/>
          <w:color w:val="auto"/>
        </w:rPr>
      </w:pPr>
      <w:r>
        <w:rPr>
          <w:rFonts w:ascii="Arial" w:cs="Arial" w:eastAsia="Arial" w:hAnsi="Arial"/>
          <w:sz w:val="18"/>
          <w:szCs w:val="18"/>
          <w:b w:val="1"/>
          <w:bCs w:val="1"/>
          <w:color w:val="auto"/>
        </w:rPr>
        <w:t>SongShan District, Taipei City 105</w:t>
      </w:r>
    </w:p>
    <w:p>
      <w:pPr>
        <w:jc w:val="center"/>
        <w:ind w:right="-479"/>
        <w:spacing w:after="0" w:line="209" w:lineRule="auto"/>
        <w:rPr>
          <w:sz w:val="20"/>
          <w:szCs w:val="20"/>
          <w:color w:val="auto"/>
        </w:rPr>
      </w:pPr>
      <w:r>
        <w:rPr>
          <w:rFonts w:ascii="Arial" w:cs="Arial" w:eastAsia="Arial" w:hAnsi="Arial"/>
          <w:sz w:val="18"/>
          <w:szCs w:val="18"/>
          <w:b w:val="1"/>
          <w:bCs w:val="1"/>
          <w:color w:val="auto"/>
        </w:rPr>
        <w:t>Taiwan</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Gogoro Releases Q1 2023 Business Update</w:t>
      </w:r>
    </w:p>
    <w:p>
      <w:pPr>
        <w:spacing w:after="0" w:line="229" w:lineRule="exact"/>
        <w:rPr>
          <w:sz w:val="20"/>
          <w:szCs w:val="20"/>
          <w:color w:val="auto"/>
        </w:rPr>
      </w:pPr>
    </w:p>
    <w:p>
      <w:pPr>
        <w:spacing w:after="0" w:line="324" w:lineRule="auto"/>
        <w:rPr>
          <w:sz w:val="20"/>
          <w:szCs w:val="20"/>
          <w:color w:val="auto"/>
        </w:rPr>
      </w:pPr>
      <w:r>
        <w:rPr>
          <w:rFonts w:ascii="Arial" w:cs="Arial" w:eastAsia="Arial" w:hAnsi="Arial"/>
          <w:sz w:val="17"/>
          <w:szCs w:val="17"/>
          <w:color w:val="auto"/>
        </w:rPr>
        <w:t>On May 11, 2023, Gogoro Inc. issued a press release announcing its financial and operating results for the first quarter ended March 31, 2023. A copy of the press release is furnished herewith as Exhibit 99.1 to this Report on Form 6-K and is incorporated by reference herein.</w:t>
      </w:r>
    </w:p>
    <w:p>
      <w:pPr>
        <w:sectPr>
          <w:pgSz w:w="11900" w:h="16838" w:orient="portrait"/>
          <w:cols w:equalWidth="0" w:num="1">
            <w:col w:w="10980"/>
          </w:cols>
          <w:pgMar w:left="320" w:top="1440" w:right="599" w:bottom="1440" w:gutter="0" w:footer="0" w:header="0"/>
        </w:sectPr>
      </w:pPr>
    </w:p>
    <w:bookmarkStart w:id="2" w:name="page3"/>
    <w:bookmarkEnd w:id="2"/>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Arial" w:cs="Arial" w:eastAsia="Arial" w:hAnsi="Arial"/>
                <w:sz w:val="18"/>
                <w:szCs w:val="18"/>
                <w:b w:val="1"/>
                <w:bCs w:val="1"/>
                <w:color w:val="auto"/>
              </w:rPr>
              <w:t>EXHIBITS INDEX</w:t>
            </w:r>
          </w:p>
        </w:tc>
      </w:tr>
      <w:tr>
        <w:trPr>
          <w:trHeight w:val="679"/>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3"/>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Exhibit Title</w:t>
            </w:r>
          </w:p>
        </w:tc>
      </w:tr>
      <w:tr>
        <w:trPr>
          <w:trHeight w:val="471"/>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41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8"/>
              </w:rPr>
              <w:t>Press release issued by Gogoro Inc., dated May 11, 2023.</w:t>
            </w:r>
          </w:p>
        </w:tc>
        <w:tc>
          <w:tcPr>
            <w:tcW w:w="1140" w:type="dxa"/>
            <w:vAlign w:val="bottom"/>
          </w:tcPr>
          <w:p>
            <w:pPr>
              <w:spacing w:after="0"/>
              <w:rPr>
                <w:sz w:val="24"/>
                <w:szCs w:val="24"/>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Gogoro Inc.</w:t>
      </w:r>
    </w:p>
    <w:p>
      <w:pPr>
        <w:spacing w:after="0" w:line="243" w:lineRule="exact"/>
        <w:rPr>
          <w:sz w:val="20"/>
          <w:szCs w:val="20"/>
          <w:color w:val="auto"/>
        </w:rPr>
      </w:pPr>
    </w:p>
    <w:p>
      <w:pPr>
        <w:ind w:left="20"/>
        <w:spacing w:after="0"/>
        <w:tabs>
          <w:tab w:leader="none" w:pos="6060" w:val="left"/>
        </w:tabs>
        <w:rPr>
          <w:sz w:val="20"/>
          <w:szCs w:val="20"/>
          <w:color w:val="auto"/>
        </w:rPr>
      </w:pPr>
      <w:r>
        <w:rPr>
          <w:rFonts w:ascii="Arial" w:cs="Arial" w:eastAsia="Arial" w:hAnsi="Arial"/>
          <w:sz w:val="18"/>
          <w:szCs w:val="18"/>
          <w:color w:val="auto"/>
        </w:rPr>
        <w:t>Date: May 11, 2023</w:t>
      </w:r>
      <w:r>
        <w:rPr>
          <w:sz w:val="20"/>
          <w:szCs w:val="20"/>
          <w:color w:val="auto"/>
        </w:rPr>
        <w:tab/>
      </w:r>
      <w:r>
        <w:rPr>
          <w:rFonts w:ascii="Arial" w:cs="Arial" w:eastAsia="Arial" w:hAnsi="Arial"/>
          <w:sz w:val="16"/>
          <w:szCs w:val="16"/>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23495</wp:posOffset>
            </wp:positionV>
            <wp:extent cx="3291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Bruce Morrison Aitken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80"/>
          </w:cols>
          <w:pgMar w:left="320" w:top="1404" w:right="129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highlight w:val="white"/>
        </w:rPr>
        <w:t xml:space="preserve">Gogoro Releases First Quarter </w:t>
      </w:r>
      <w:r>
        <w:rPr>
          <w:rFonts w:ascii="Arial" w:cs="Arial" w:eastAsia="Arial" w:hAnsi="Arial"/>
          <w:sz w:val="27"/>
          <w:szCs w:val="27"/>
          <w:b w:val="1"/>
          <w:bCs w:val="1"/>
          <w:color w:val="auto"/>
        </w:rPr>
        <w:t>2023 Financial Results</w:t>
      </w:r>
    </w:p>
    <w:p>
      <w:pPr>
        <w:spacing w:after="0" w:line="200" w:lineRule="exact"/>
        <w:rPr>
          <w:sz w:val="20"/>
          <w:szCs w:val="20"/>
          <w:color w:val="auto"/>
        </w:rPr>
      </w:pPr>
    </w:p>
    <w:p>
      <w:pPr>
        <w:spacing w:after="0" w:line="264" w:lineRule="exact"/>
        <w:rPr>
          <w:sz w:val="20"/>
          <w:szCs w:val="20"/>
          <w:color w:val="auto"/>
        </w:rPr>
      </w:pPr>
    </w:p>
    <w:p>
      <w:pPr>
        <w:ind w:right="520"/>
        <w:spacing w:after="0" w:line="293" w:lineRule="auto"/>
        <w:rPr>
          <w:sz w:val="20"/>
          <w:szCs w:val="20"/>
          <w:color w:val="auto"/>
        </w:rPr>
      </w:pPr>
      <w:r>
        <w:rPr>
          <w:rFonts w:ascii="Arial" w:cs="Arial" w:eastAsia="Arial" w:hAnsi="Arial"/>
          <w:sz w:val="19"/>
          <w:szCs w:val="19"/>
          <w:b w:val="1"/>
          <w:bCs w:val="1"/>
          <w:color w:val="auto"/>
          <w:highlight w:val="white"/>
        </w:rPr>
        <w:t xml:space="preserve">TAIPEI, Taiwan, </w:t>
      </w:r>
      <w:r>
        <w:rPr>
          <w:rFonts w:ascii="Arial" w:cs="Arial" w:eastAsia="Arial" w:hAnsi="Arial"/>
          <w:sz w:val="19"/>
          <w:szCs w:val="19"/>
          <w:b w:val="1"/>
          <w:bCs w:val="1"/>
          <w:color w:val="auto"/>
        </w:rPr>
        <w:t>May 11, 2023</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 Gogoro Inc. (Nasdaq: GGR), a global technology leader in battery swapping ecosystems that enable</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sustainable mobility solutions for cities, today released its financial results for its first quarter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-323850</wp:posOffset>
            </wp:positionV>
            <wp:extent cx="12890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6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First quarter revenue of $79.3 million, down 16.0% year-over-year and down 8.8% on a constant currency basis</w:t>
      </w:r>
    </w:p>
    <w:p>
      <w:pPr>
        <w:spacing w:after="0" w:line="269" w:lineRule="exact"/>
        <w:rPr>
          <w:rFonts w:ascii="Arial" w:cs="Arial" w:eastAsia="Arial" w:hAnsi="Arial"/>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First quarter battery swapping revenue of $32.3 million, up 9.8% year-over-year and up 19.2% on a constant currency basis</w:t>
      </w:r>
    </w:p>
    <w:p>
      <w:pPr>
        <w:spacing w:after="0" w:line="238"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First quarter net loss of $40.6 million, up from a net loss of $21.7 million in the same quarter last year</w:t>
      </w:r>
    </w:p>
    <w:p>
      <w:pPr>
        <w:spacing w:after="0" w:line="210" w:lineRule="exact"/>
        <w:rPr>
          <w:rFonts w:ascii="Arial" w:cs="Arial" w:eastAsia="Arial" w:hAnsi="Arial"/>
          <w:sz w:val="20"/>
          <w:szCs w:val="20"/>
          <w:b w:val="1"/>
          <w:bCs w:val="1"/>
          <w:color w:val="auto"/>
        </w:rPr>
      </w:pPr>
    </w:p>
    <w:p>
      <w:pPr>
        <w:ind w:left="660" w:hanging="328"/>
        <w:spacing w:after="0"/>
        <w:tabs>
          <w:tab w:leader="none" w:pos="6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First quarter adjusted EBITDA of $10.6 million, down from $13.5 million in the same quarter last year</w:t>
      </w:r>
    </w:p>
    <w:p>
      <w:pPr>
        <w:spacing w:after="0" w:line="217" w:lineRule="exact"/>
        <w:rPr>
          <w:sz w:val="20"/>
          <w:szCs w:val="20"/>
          <w:color w:val="auto"/>
        </w:rPr>
      </w:pPr>
    </w:p>
    <w:p>
      <w:pPr>
        <w:ind w:right="80" w:firstLine="6"/>
        <w:spacing w:after="0" w:line="291" w:lineRule="auto"/>
        <w:rPr>
          <w:sz w:val="20"/>
          <w:szCs w:val="20"/>
          <w:color w:val="auto"/>
        </w:rPr>
      </w:pPr>
      <w:r>
        <w:rPr>
          <w:rFonts w:ascii="Arial" w:cs="Arial" w:eastAsia="Arial" w:hAnsi="Arial"/>
          <w:sz w:val="19"/>
          <w:szCs w:val="19"/>
          <w:color w:val="auto"/>
        </w:rPr>
        <w:t>“Our performance in the first quarter of 2023 is in line with expectations and reflects seasonally lower volume and revenue we usually see in Taiwan during the first quarter. We continue to execute on our international expansion plans in India, the Philippines and other new markets and plan to transition from pilots to commercial deployments in several of these markets this year. In Taiwan, we are expanding our retail channels and broadening our product offerings,” said Horace Luke, chairman, founder and CEO of Gogoro. “In addition to new pilots in India, the Philippines, and Singapore, we also continue to expand the capabilities of our battery swapping network beyond mobility to create new recurring revenue streams. For example, in April, we announced the world’s first commercial deployment of a Virtual Power Plant ("VPP") integrated with a distributed battery swapping network in Taiwan. This newly deployed VPP technology, with our partner Enel X, enables our battery swapping stations to integrate with the Taiwan power grid and either pause power consumption or return energy to the network as needed."</w:t>
      </w:r>
    </w:p>
    <w:p>
      <w:pPr>
        <w:spacing w:after="0" w:line="208" w:lineRule="exact"/>
        <w:rPr>
          <w:sz w:val="20"/>
          <w:szCs w:val="20"/>
          <w:color w:val="auto"/>
        </w:rPr>
      </w:pPr>
    </w:p>
    <w:p>
      <w:pPr>
        <w:ind w:right="60" w:firstLine="6"/>
        <w:spacing w:after="0" w:line="319" w:lineRule="auto"/>
        <w:rPr>
          <w:sz w:val="20"/>
          <w:szCs w:val="20"/>
          <w:color w:val="auto"/>
        </w:rPr>
      </w:pPr>
      <w:r>
        <w:rPr>
          <w:rFonts w:ascii="Arial" w:cs="Arial" w:eastAsia="Arial" w:hAnsi="Arial"/>
          <w:sz w:val="18"/>
          <w:szCs w:val="18"/>
          <w:color w:val="auto"/>
        </w:rPr>
        <w:t>“Despite some near-term market and business challenges concurrent with an unfavorable macroeconomic climate, Q1 results were consistent with our seasonally adjusted expectations and we expect to deliver on our full year 2023 guidance of $400 to $450 million in revenue," said Bruce Aitken, chief financial officer of Gogoro. "In conjunction, we continue to focus on cost controls, investment in our Taiwan retail channels, executing on our international expansion, and diversifying our product portfolio to support an even larger market.”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First Quarter 2023 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Revenues</w:t>
      </w:r>
    </w:p>
    <w:p>
      <w:pPr>
        <w:spacing w:after="0" w:line="195" w:lineRule="exact"/>
        <w:rPr>
          <w:sz w:val="20"/>
          <w:szCs w:val="20"/>
          <w:color w:val="auto"/>
        </w:rPr>
      </w:pPr>
    </w:p>
    <w:p>
      <w:pPr>
        <w:ind w:left="20" w:right="300"/>
        <w:spacing w:after="0" w:line="248" w:lineRule="auto"/>
        <w:rPr>
          <w:sz w:val="20"/>
          <w:szCs w:val="20"/>
          <w:color w:val="auto"/>
        </w:rPr>
      </w:pPr>
      <w:r>
        <w:rPr>
          <w:rFonts w:ascii="Arial" w:cs="Arial" w:eastAsia="Arial" w:hAnsi="Arial"/>
          <w:sz w:val="20"/>
          <w:szCs w:val="20"/>
          <w:color w:val="auto"/>
        </w:rPr>
        <w:t>For the first quarter, revenue was $79.3 million, down 16.0% year-over-year and down 8.8% year-over-year on a constant currency basis</w:t>
      </w:r>
      <w:r>
        <w:rPr>
          <w:rFonts w:ascii="Arial" w:cs="Arial" w:eastAsia="Arial" w:hAnsi="Arial"/>
          <w:sz w:val="25"/>
          <w:szCs w:val="25"/>
          <w:color w:val="auto"/>
          <w:vertAlign w:val="superscript"/>
        </w:rPr>
        <w:t>1</w:t>
      </w:r>
      <w:r>
        <w:rPr>
          <w:rFonts w:ascii="Arial" w:cs="Arial" w:eastAsia="Arial" w:hAnsi="Arial"/>
          <w:sz w:val="20"/>
          <w:szCs w:val="20"/>
          <w:color w:val="auto"/>
        </w:rPr>
        <w:t>. Had foreign exchange rates remained constant with the average rate of the same quarter last year, revenue would have been up by an additional $6.8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right="60" w:hanging="328"/>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Sales of hardware and other revenues for the quarter were $47.0 million, down 27.7% year-over-year, and down 21.5% year-over-year on a constant currency basis</w:t>
      </w:r>
      <w:r>
        <w:rPr>
          <w:rFonts w:ascii="Arial" w:cs="Arial" w:eastAsia="Arial" w:hAnsi="Arial"/>
          <w:sz w:val="25"/>
          <w:szCs w:val="25"/>
          <w:color w:val="auto"/>
          <w:vertAlign w:val="superscript"/>
        </w:rPr>
        <w:t>1</w:t>
      </w:r>
      <w:r>
        <w:rPr>
          <w:rFonts w:ascii="Arial" w:cs="Arial" w:eastAsia="Arial" w:hAnsi="Arial"/>
          <w:sz w:val="20"/>
          <w:szCs w:val="20"/>
          <w:color w:val="auto"/>
        </w:rPr>
        <w:t>. For the entire powered two-wheelers ("PTW") market, sales in Taiwan in the first quarter were up 9.8% year-over-year while electric scooters sales were down 1.9% compared to the same quarter last year. The growth in the PTW market was driven by substantial sales of new, heavily-marketed, low-priced, and fuel-efficient internal combustion engine scooter models launched in January 2023.</w:t>
      </w:r>
    </w:p>
    <w:p>
      <w:pPr>
        <w:spacing w:after="0" w:line="176" w:lineRule="exact"/>
        <w:rPr>
          <w:rFonts w:ascii="Arial" w:cs="Arial" w:eastAsia="Arial" w:hAnsi="Arial"/>
          <w:sz w:val="20"/>
          <w:szCs w:val="20"/>
          <w:color w:val="auto"/>
        </w:rPr>
      </w:pPr>
    </w:p>
    <w:p>
      <w:pPr>
        <w:ind w:left="660" w:right="60" w:hanging="328"/>
        <w:spacing w:after="0" w:line="34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Gogoro vehicle sales volume decreased by 17.3% compared to the same quarter last year. This was driven by a combination of factors: — (i) delays in the announcement of city government subsidies, (ii) increases in internal combustion engine sales due to new</w:t>
      </w:r>
    </w:p>
    <w:p>
      <w:pPr>
        <w:ind w:left="660" w:right="260"/>
        <w:spacing w:after="0" w:line="285" w:lineRule="auto"/>
        <w:rPr>
          <w:rFonts w:ascii="Arial" w:cs="Arial" w:eastAsia="Arial" w:hAnsi="Arial"/>
          <w:sz w:val="16"/>
          <w:szCs w:val="16"/>
          <w:color w:val="auto"/>
        </w:rPr>
      </w:pPr>
      <w:r>
        <w:rPr>
          <w:rFonts w:ascii="Arial" w:cs="Arial" w:eastAsia="Arial" w:hAnsi="Arial"/>
          <w:sz w:val="20"/>
          <w:szCs w:val="20"/>
          <w:color w:val="auto"/>
        </w:rPr>
        <w:t>product launches and aggressive pricing strategies and, (iii) in the case of Gogoro's sales drop, the emergence of a new, heavily marketed low cost/low-power electric moped in the entry market segment reduced Gogoro's market share. When viewed on a like-for-like performance basis, we maintained a market share of 80.6%.</w:t>
      </w:r>
    </w:p>
    <w:p>
      <w:pPr>
        <w:spacing w:after="0" w:line="17" w:lineRule="exact"/>
        <w:rPr>
          <w:rFonts w:ascii="Arial" w:cs="Arial" w:eastAsia="Arial" w:hAnsi="Arial"/>
          <w:sz w:val="16"/>
          <w:szCs w:val="16"/>
          <w:color w:val="auto"/>
        </w:rPr>
      </w:pPr>
    </w:p>
    <w:p>
      <w:pPr>
        <w:ind w:left="660" w:right="40" w:hanging="328"/>
        <w:spacing w:after="0" w:line="276" w:lineRule="auto"/>
        <w:tabs>
          <w:tab w:leader="none" w:pos="660" w:val="left"/>
        </w:tabs>
        <w:numPr>
          <w:ilvl w:val="0"/>
          <w:numId w:val="2"/>
        </w:numPr>
        <w:rPr>
          <w:rFonts w:ascii="Arial" w:cs="Arial" w:eastAsia="Arial" w:hAnsi="Arial"/>
          <w:sz w:val="19"/>
          <w:szCs w:val="19"/>
          <w:color w:val="auto"/>
        </w:rPr>
      </w:pPr>
      <w:r>
        <w:rPr>
          <w:rFonts w:ascii="Arial" w:cs="Arial" w:eastAsia="Arial" w:hAnsi="Arial"/>
          <w:sz w:val="19"/>
          <w:szCs w:val="19"/>
          <w:color w:val="auto"/>
        </w:rPr>
        <w:t>Battery swapping service revenue for the first quarter was $32.3 million, up 9.8% year-over-year, and up 19.2% year-over-year on a constant currency basis</w:t>
      </w:r>
      <w:r>
        <w:rPr>
          <w:rFonts w:ascii="Arial" w:cs="Arial" w:eastAsia="Arial" w:hAnsi="Arial"/>
          <w:sz w:val="24"/>
          <w:szCs w:val="24"/>
          <w:color w:val="auto"/>
          <w:vertAlign w:val="superscript"/>
        </w:rPr>
        <w:t>1</w:t>
      </w:r>
      <w:r>
        <w:rPr>
          <w:rFonts w:ascii="Arial" w:cs="Arial" w:eastAsia="Arial" w:hAnsi="Arial"/>
          <w:sz w:val="19"/>
          <w:szCs w:val="19"/>
          <w:color w:val="auto"/>
        </w:rPr>
        <w:t>. Total subscribers at the end of the first quarter exceeded 538,000, up 15.2% from 467,000 subscribers at the end of the same quarter last year. The battery swapping service revenue increase was primarily due to our larger subscriber base and the high retention rate of our subscribers. We continue to see the strength of our subscription-based business model to accrue more customers to maximize our battery swapping network efficiency.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Gross Margin</w:t>
      </w:r>
    </w:p>
    <w:p>
      <w:pPr>
        <w:spacing w:after="0" w:line="181"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For the first quarter, gross margin was 12.9%, down from 13.7% in the same quarter last year and non-IFRS gross margin</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was 13.7%, down from 14.2% in the same quarter last year. The gross margin and non-IFRS gross margin</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declines were driven by a decrease in the average selling price of our product portfolio together with higher production cost per electric scooter as a result of lower volumes. The decline was partially offset by the improved cost efficiencies of Gogoro's battery swapping service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Loss</w:t>
      </w:r>
    </w:p>
    <w:p>
      <w:pPr>
        <w:spacing w:after="0" w:line="195" w:lineRule="exact"/>
        <w:rPr>
          <w:sz w:val="20"/>
          <w:szCs w:val="20"/>
          <w:color w:val="auto"/>
        </w:rPr>
      </w:pPr>
    </w:p>
    <w:p>
      <w:pPr>
        <w:ind w:right="340"/>
        <w:spacing w:after="0" w:line="279" w:lineRule="auto"/>
        <w:rPr>
          <w:sz w:val="20"/>
          <w:szCs w:val="20"/>
          <w:color w:val="auto"/>
        </w:rPr>
      </w:pPr>
      <w:r>
        <w:rPr>
          <w:rFonts w:ascii="Arial" w:cs="Arial" w:eastAsia="Arial" w:hAnsi="Arial"/>
          <w:sz w:val="20"/>
          <w:szCs w:val="20"/>
          <w:color w:val="auto"/>
        </w:rPr>
        <w:t>For the first quarter, net loss was $40.6 million, up $18.9 million from $21.7 million in the same quarter last year. The increase in net loss was primarily due to an unfavorable change in the fair value of financial liabilities of $18.5 million. The increase in net loss was partially offset by the decrease in sales and marketing expenses as a result of more targeted retail marketing campaigns and reduced headcount compared to the same quarter last year.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EBITDA</w:t>
      </w:r>
    </w:p>
    <w:p>
      <w:pPr>
        <w:spacing w:after="0" w:line="222" w:lineRule="exact"/>
        <w:rPr>
          <w:sz w:val="20"/>
          <w:szCs w:val="20"/>
          <w:color w:val="auto"/>
        </w:rPr>
      </w:pPr>
    </w:p>
    <w:p>
      <w:pPr>
        <w:ind w:left="20" w:right="780"/>
        <w:spacing w:after="0" w:line="253" w:lineRule="auto"/>
        <w:rPr>
          <w:sz w:val="20"/>
          <w:szCs w:val="20"/>
          <w:color w:val="auto"/>
        </w:rPr>
      </w:pPr>
      <w:r>
        <w:rPr>
          <w:rFonts w:ascii="Arial" w:cs="Arial" w:eastAsia="Arial" w:hAnsi="Arial"/>
          <w:sz w:val="20"/>
          <w:szCs w:val="20"/>
          <w:color w:val="auto"/>
        </w:rPr>
        <w:t>For the first quarter,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$10.6 million, down from $13.5 million in the same quarter last year. The decrease was primarily the result of non-IFRS gross profit</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decreasing to $10.9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8" w:lineRule="exact"/>
        <w:rPr>
          <w:sz w:val="20"/>
          <w:szCs w:val="20"/>
          <w:color w:val="auto"/>
        </w:rPr>
      </w:pPr>
    </w:p>
    <w:p>
      <w:pPr>
        <w:ind w:left="180" w:right="460" w:hanging="107"/>
        <w:spacing w:after="0" w:line="228" w:lineRule="auto"/>
        <w:tabs>
          <w:tab w:leader="none" w:pos="163"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 xml:space="preserve">This is a non-IFRS measure, see </w:t>
      </w:r>
      <w:r>
        <w:rPr>
          <w:rFonts w:ascii="Arial" w:cs="Arial" w:eastAsia="Arial" w:hAnsi="Arial"/>
          <w:sz w:val="14"/>
          <w:szCs w:val="14"/>
          <w:b w:val="1"/>
          <w:bCs w:val="1"/>
          <w:color w:val="auto"/>
        </w:rPr>
        <w:t>Use of Non-IFRS Financial Measures</w:t>
      </w:r>
      <w:r>
        <w:rPr>
          <w:rFonts w:ascii="Arial" w:cs="Arial" w:eastAsia="Arial" w:hAnsi="Arial"/>
          <w:sz w:val="14"/>
          <w:szCs w:val="14"/>
          <w:color w:val="auto"/>
        </w:rPr>
        <w:t xml:space="preserve"> for a description of the non-IFRS measures and </w:t>
      </w:r>
      <w:r>
        <w:rPr>
          <w:rFonts w:ascii="Arial" w:cs="Arial" w:eastAsia="Arial" w:hAnsi="Arial"/>
          <w:sz w:val="14"/>
          <w:szCs w:val="14"/>
          <w:b w:val="1"/>
          <w:bCs w:val="1"/>
          <w:color w:val="auto"/>
        </w:rPr>
        <w:t>Reconciliation of IFRS Financial Metrics to Non-IFRS</w:t>
      </w:r>
      <w:r>
        <w:rPr>
          <w:rFonts w:ascii="Arial" w:cs="Arial" w:eastAsia="Arial" w:hAnsi="Arial"/>
          <w:sz w:val="14"/>
          <w:szCs w:val="14"/>
          <w:color w:val="auto"/>
        </w:rPr>
        <w:t xml:space="preserve"> for a reconciliation of the company’s non-IFRS financial measures to their most directly comparable IFRS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760"/>
        <w:spacing w:after="0" w:line="288" w:lineRule="auto"/>
        <w:rPr>
          <w:sz w:val="20"/>
          <w:szCs w:val="20"/>
          <w:color w:val="auto"/>
        </w:rPr>
      </w:pPr>
      <w:r>
        <w:rPr>
          <w:rFonts w:ascii="Arial" w:cs="Arial" w:eastAsia="Arial" w:hAnsi="Arial"/>
          <w:sz w:val="20"/>
          <w:szCs w:val="20"/>
          <w:color w:val="auto"/>
        </w:rPr>
        <w:t>down 19.0% from $13.4 million in the same quarter last year, due to reduced sales volumes. The decrease was partially offset by the continued growth of Gogoro's battery swapping service business in the first quarter.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35" w:lineRule="exact"/>
        <w:rPr>
          <w:sz w:val="20"/>
          <w:szCs w:val="20"/>
          <w:color w:val="auto"/>
        </w:rPr>
      </w:pPr>
    </w:p>
    <w:p>
      <w:pPr>
        <w:ind w:left="20"/>
        <w:spacing w:after="0" w:line="313" w:lineRule="auto"/>
        <w:rPr>
          <w:sz w:val="20"/>
          <w:szCs w:val="20"/>
          <w:color w:val="auto"/>
        </w:rPr>
      </w:pPr>
      <w:r>
        <w:rPr>
          <w:rFonts w:ascii="Arial" w:cs="Arial" w:eastAsia="Arial" w:hAnsi="Arial"/>
          <w:sz w:val="18"/>
          <w:szCs w:val="18"/>
          <w:color w:val="auto"/>
        </w:rPr>
        <w:t>We reduced operating cash outflow by $19.2 million compared to the same quarter last year through tightening of our business operations and reducing working capital. As we execute on our international expansion strategy, we continue to make investments for growth — including a $16.4 million equity investment; other operational investments in multiple expansion markets in the first quarter; and, we continue to invest in growing our battery swapping infrastructure. We have paid back $17.7 million in bank loans in the first quarter as part of our effective working capital and financing cost management. With a $167.1 million cash balance at the end of the first quarter and additional credit facilities, we believe we have sufficient sources of funding to meet our near term business growth objectives.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Guidance</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For the full year 2023, we reiterate our 2023 outlook:</w:t>
      </w:r>
    </w:p>
    <w:p>
      <w:pPr>
        <w:spacing w:after="0" w:line="2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of $400 million to $450 million which represents an anticipated increase of 4.5% to 17.6% compared to 2022.</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 estimate that we will generate 90% to 95% of 2023 full year revenue from the Taiwan market.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Conference Call Information</w:t>
      </w:r>
    </w:p>
    <w:p>
      <w:pPr>
        <w:spacing w:after="0" w:line="249" w:lineRule="exact"/>
        <w:rPr>
          <w:sz w:val="20"/>
          <w:szCs w:val="20"/>
          <w:color w:val="auto"/>
        </w:rPr>
      </w:pPr>
    </w:p>
    <w:p>
      <w:pPr>
        <w:ind w:right="560"/>
        <w:spacing w:after="0" w:line="235" w:lineRule="auto"/>
        <w:rPr>
          <w:sz w:val="20"/>
          <w:szCs w:val="20"/>
          <w:color w:val="auto"/>
        </w:rPr>
      </w:pPr>
      <w:r>
        <w:rPr>
          <w:rFonts w:ascii="Arial" w:cs="Arial" w:eastAsia="Arial" w:hAnsi="Arial"/>
          <w:sz w:val="20"/>
          <w:szCs w:val="20"/>
          <w:color w:val="auto"/>
        </w:rPr>
        <w:t>Gogoro's management team will hold an earnings Webcast on May 11</w:t>
      </w:r>
      <w:r>
        <w:rPr>
          <w:rFonts w:ascii="Arial" w:cs="Arial" w:eastAsia="Arial" w:hAnsi="Arial"/>
          <w:sz w:val="25"/>
          <w:szCs w:val="25"/>
          <w:color w:val="auto"/>
          <w:vertAlign w:val="superscript"/>
        </w:rPr>
        <w:t>th</w:t>
      </w:r>
      <w:r>
        <w:rPr>
          <w:rFonts w:ascii="Arial" w:cs="Arial" w:eastAsia="Arial" w:hAnsi="Arial"/>
          <w:sz w:val="20"/>
          <w:szCs w:val="20"/>
          <w:color w:val="auto"/>
        </w:rPr>
        <w:t>, 2023, at 8:00 a.m. Eastern Time to discuss the Company's first quarter 2023 results of operations and outlook.</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Investors may access the webcast, supplemental financial information and investor presentation at Gogoro’s investor relations website</w:t>
      </w:r>
    </w:p>
    <w:p>
      <w:pPr>
        <w:spacing w:after="0" w:line="50" w:lineRule="exact"/>
        <w:rPr>
          <w:sz w:val="20"/>
          <w:szCs w:val="20"/>
          <w:color w:val="auto"/>
        </w:rPr>
      </w:pPr>
    </w:p>
    <w:p>
      <w:pPr>
        <w:ind w:right="20"/>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0E32E1"/>
        </w:rPr>
        <w:t>https://investor.gogoro.com</w:t>
      </w:r>
      <w:r>
        <w:rPr>
          <w:rFonts w:ascii="Arial" w:cs="Arial" w:eastAsia="Arial" w:hAnsi="Arial"/>
          <w:sz w:val="20"/>
          <w:szCs w:val="20"/>
          <w:color w:val="auto"/>
        </w:rPr>
        <w:t>) under the “Events” section. A replay of the investor presentation and the earnings call script will be available 24 hours after the conclusion of the webcast and archived for one year.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About Gogoro</w:t>
      </w:r>
    </w:p>
    <w:p>
      <w:pPr>
        <w:spacing w:after="0" w:line="249"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 xml:space="preserve">Founded in 2011 to rethink urban energy and inspire the world to move through cities in smarter and more sustainable ways, Gogoro leverages the power of innovation to change the way urban energy is distributed and consumed. Recognized and awarded by Frost &amp; Sullivan as the “2023 Global Company of the Year for battery swapping for electric two-wheel vehicles,”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availability and safety. The challenge is massive, but the opportunity to disrupt the status quo, establish new standards, and achieve new levels of sustainable transportation growth in densely populated cities is even greater. For more information, visit </w:t>
      </w:r>
      <w:r>
        <w:rPr>
          <w:rFonts w:ascii="Arial" w:cs="Arial" w:eastAsia="Arial" w:hAnsi="Arial"/>
          <w:sz w:val="18"/>
          <w:szCs w:val="18"/>
          <w:color w:val="0000FF"/>
        </w:rPr>
        <w:t>https://www.gogoro.com/news</w:t>
      </w:r>
      <w:r>
        <w:rPr>
          <w:rFonts w:ascii="Arial" w:cs="Arial" w:eastAsia="Arial" w:hAnsi="Arial"/>
          <w:sz w:val="18"/>
          <w:szCs w:val="18"/>
          <w:color w:val="auto"/>
        </w:rPr>
        <w:t xml:space="preserve"> and follow Gogoro on Twitter: </w:t>
      </w:r>
      <w:r>
        <w:rPr>
          <w:rFonts w:ascii="Arial" w:cs="Arial" w:eastAsia="Arial" w:hAnsi="Arial"/>
          <w:sz w:val="18"/>
          <w:szCs w:val="18"/>
          <w:color w:val="5738FF"/>
        </w:rPr>
        <w:t>@wearegogoro</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Forward-Looking Statements</w:t>
      </w:r>
    </w:p>
    <w:p>
      <w:pPr>
        <w:spacing w:after="0" w:line="249" w:lineRule="exact"/>
        <w:rPr>
          <w:sz w:val="20"/>
          <w:szCs w:val="20"/>
          <w:color w:val="auto"/>
        </w:rPr>
      </w:pPr>
    </w:p>
    <w:p>
      <w:pPr>
        <w:ind w:right="120"/>
        <w:spacing w:after="0" w:line="307" w:lineRule="auto"/>
        <w:rPr>
          <w:sz w:val="20"/>
          <w:szCs w:val="20"/>
          <w:color w:val="auto"/>
        </w:rPr>
      </w:pPr>
      <w:r>
        <w:rPr>
          <w:rFonts w:ascii="Arial" w:cs="Arial" w:eastAsia="Arial" w:hAnsi="Arial"/>
          <w:sz w:val="18"/>
          <w:szCs w:val="18"/>
          <w:color w:val="auto"/>
          <w:highlight w:val="white"/>
        </w:rPr>
        <w:t xml:space="preserve">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 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w:t>
      </w:r>
      <w:r>
        <w:rPr>
          <w:rFonts w:ascii="Arial" w:cs="Arial" w:eastAsia="Arial" w:hAnsi="Arial"/>
          <w:sz w:val="18"/>
          <w:szCs w:val="18"/>
          <w:color w:val="auto"/>
        </w:rPr>
        <w:t xml:space="preserve">statements in the section entitled, "2023 Guidance," such as estimates regarding revenue and Gogoro's revenue generated from the Taiwan market, statements regarding the sufficiency of Gogoro's cash resources, </w:t>
      </w:r>
      <w:r>
        <w:rPr>
          <w:rFonts w:ascii="Arial" w:cs="Arial" w:eastAsia="Arial" w:hAnsi="Arial"/>
          <w:sz w:val="18"/>
          <w:szCs w:val="18"/>
          <w:color w:val="auto"/>
          <w:highlight w:val="white"/>
        </w:rPr>
        <w:t>Gogoro’s beliefs regarding Gogoro’s future operating performance</w:t>
      </w:r>
      <w:r>
        <w:rPr>
          <w:rFonts w:ascii="Arial" w:cs="Arial" w:eastAsia="Arial" w:hAnsi="Arial"/>
          <w:sz w:val="18"/>
          <w:szCs w:val="18"/>
          <w:color w:val="auto"/>
        </w:rPr>
        <w:t xml:space="preserve"> </w:t>
      </w:r>
      <w:r>
        <w:rPr>
          <w:rFonts w:ascii="Arial" w:cs="Arial" w:eastAsia="Arial" w:hAnsi="Arial"/>
          <w:sz w:val="18"/>
          <w:szCs w:val="18"/>
          <w:color w:val="auto"/>
          <w:highlight w:val="white"/>
        </w:rPr>
        <w:t>including its ability to grow its subscriber base, projections of market opportunity and market share, potential growth of Gogoro's battery swapping ecosystem in Taiwan and in new markets, timing of Gogoro's launch in India, the capability of Gogoro’s technology</w:t>
      </w:r>
      <w:r>
        <w:rPr>
          <w:rFonts w:ascii="Arial" w:cs="Arial" w:eastAsia="Arial" w:hAnsi="Arial"/>
          <w:sz w:val="18"/>
          <w:szCs w:val="18"/>
          <w:color w:val="auto"/>
        </w:rPr>
        <w:t>, Gogoro’s</w:t>
      </w:r>
      <w:r>
        <w:rPr>
          <w:rFonts w:ascii="Arial" w:cs="Arial" w:eastAsia="Arial" w:hAnsi="Arial"/>
          <w:sz w:val="18"/>
          <w:szCs w:val="18"/>
          <w:color w:val="auto"/>
          <w:highlight w:val="white"/>
        </w:rPr>
        <w:t xml:space="preserve"> </w:t>
      </w:r>
      <w:r>
        <w:rPr>
          <w:rFonts w:ascii="Arial" w:cs="Arial" w:eastAsia="Arial" w:hAnsi="Arial"/>
          <w:sz w:val="18"/>
          <w:szCs w:val="18"/>
          <w:color w:val="auto"/>
        </w:rPr>
        <w:t>business plans including its plans to grow and expand in Taiwan and internationally, the expected use of proceeds from the merger, and statements by Gogoro's founder, chairman, and chief executive officer and Gogoro's chief financial officer.</w:t>
      </w:r>
    </w:p>
    <w:p>
      <w:pPr>
        <w:spacing w:after="0" w:line="198" w:lineRule="exact"/>
        <w:rPr>
          <w:sz w:val="20"/>
          <w:szCs w:val="20"/>
          <w:color w:val="auto"/>
        </w:rPr>
      </w:pPr>
    </w:p>
    <w:p>
      <w:pPr>
        <w:ind w:right="60"/>
        <w:spacing w:after="0" w:line="305" w:lineRule="auto"/>
        <w:rPr>
          <w:sz w:val="20"/>
          <w:szCs w:val="20"/>
          <w:color w:val="auto"/>
        </w:rPr>
      </w:pPr>
      <w:r>
        <w:rPr>
          <w:rFonts w:ascii="Arial" w:cs="Arial" w:eastAsia="Arial" w:hAnsi="Arial"/>
          <w:sz w:val="18"/>
          <w:szCs w:val="18"/>
          <w:color w:val="auto"/>
        </w:rPr>
        <w:t>Gogoro’s expectations and beliefs regarding these matters may not materialize, and actual results in future periods are subject to risks and uncertainties that could cause actual results to differ materially from those projected, including risks related to the impact of the COVID-19 pandemic,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operating in the PRC, regulatory risks and Gogoro’s risks related to strategic collaborations, risks related to the Taiwan market, China market, India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update the accounting treatment for its joint ventures. The forward looking statements contained in this communication are also subject to other risks and uncertainties, including those more fully described in Gogoro's filings with the Securities and Exchange Commission (“SEC”), including in Gogoro’s Form 20-F for the year ended December 31, 2022, which was filed on March 31, 2023 and in its subsequent filings with the SEC, copies of which are available on our website and on the SEC's website at www.sec.gov. The forward-looking statements in this communication are based on information available to Gogoro as of the date hereof, and Gogoro disclaims any obligation to update any forward-looking statements, except as required by law.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Non-IFRS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60"/>
        <w:spacing w:after="0" w:line="285" w:lineRule="auto"/>
        <w:rPr>
          <w:sz w:val="20"/>
          <w:szCs w:val="20"/>
          <w:color w:val="auto"/>
        </w:rPr>
      </w:pPr>
      <w:r>
        <w:rPr>
          <w:rFonts w:ascii="Arial" w:cs="Arial" w:eastAsia="Arial" w:hAnsi="Arial"/>
          <w:sz w:val="20"/>
          <w:szCs w:val="20"/>
          <w:color w:val="auto"/>
        </w:rPr>
        <w:t>This press release and accompanying tables contain certain non-International Financial Reporting Standards (collectively, “IFRS”) financial measures as issued by the International Accounting Standards Board including foreign exchange effect on operating revenues, non-IFRS gross profit, non-IFRS gross margin, Non-IFRS Net Loss, EBITDA and Adjusted EBITDA.</w:t>
      </w:r>
    </w:p>
    <w:p>
      <w:pPr>
        <w:spacing w:after="0" w:line="201" w:lineRule="exact"/>
        <w:rPr>
          <w:sz w:val="20"/>
          <w:szCs w:val="20"/>
          <w:color w:val="auto"/>
        </w:rPr>
      </w:pPr>
    </w:p>
    <w:p>
      <w:pPr>
        <w:ind w:right="220"/>
        <w:spacing w:after="0" w:line="281" w:lineRule="auto"/>
        <w:rPr>
          <w:sz w:val="20"/>
          <w:szCs w:val="20"/>
          <w:color w:val="auto"/>
        </w:rPr>
      </w:pPr>
      <w:r>
        <w:rPr>
          <w:rFonts w:ascii="Arial" w:cs="Arial" w:eastAsia="Arial" w:hAnsi="Arial"/>
          <w:sz w:val="20"/>
          <w:szCs w:val="20"/>
          <w:b w:val="1"/>
          <w:bCs w:val="1"/>
          <w:color w:val="auto"/>
        </w:rPr>
        <w:t xml:space="preserve">Foreign exchange ("FX") effect on operating revenues. </w:t>
      </w:r>
      <w:r>
        <w:rPr>
          <w:rFonts w:ascii="Arial" w:cs="Arial" w:eastAsia="Arial" w:hAnsi="Arial"/>
          <w:sz w:val="20"/>
          <w:szCs w:val="20"/>
          <w:color w:val="auto"/>
        </w:rPr>
        <w:t>We compare the dollar amount and the percent change in the operating revenues</w:t>
      </w:r>
      <w:r>
        <w:rPr>
          <w:rFonts w:ascii="Arial" w:cs="Arial" w:eastAsia="Arial" w:hAnsi="Arial"/>
          <w:sz w:val="20"/>
          <w:szCs w:val="20"/>
          <w:b w:val="1"/>
          <w:bCs w:val="1"/>
          <w:color w:val="auto"/>
        </w:rPr>
        <w:t xml:space="preserve"> </w:t>
      </w:r>
      <w:r>
        <w:rPr>
          <w:rFonts w:ascii="Arial" w:cs="Arial" w:eastAsia="Arial" w:hAnsi="Arial"/>
          <w:sz w:val="20"/>
          <w:szCs w:val="20"/>
          <w:color w:val="auto"/>
        </w:rPr>
        <w:t>from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w:t>
      </w:r>
    </w:p>
    <w:p>
      <w:pPr>
        <w:spacing w:after="0" w:line="206" w:lineRule="exact"/>
        <w:rPr>
          <w:sz w:val="20"/>
          <w:szCs w:val="20"/>
          <w:color w:val="auto"/>
        </w:rPr>
      </w:pPr>
    </w:p>
    <w:p>
      <w:pPr>
        <w:ind w:right="580"/>
        <w:spacing w:after="0" w:line="295" w:lineRule="auto"/>
        <w:rPr>
          <w:sz w:val="20"/>
          <w:szCs w:val="20"/>
          <w:color w:val="auto"/>
        </w:rPr>
      </w:pPr>
      <w:r>
        <w:rPr>
          <w:rFonts w:ascii="Arial" w:cs="Arial" w:eastAsia="Arial" w:hAnsi="Arial"/>
          <w:sz w:val="20"/>
          <w:szCs w:val="20"/>
          <w:b w:val="1"/>
          <w:bCs w:val="1"/>
          <w:color w:val="auto"/>
        </w:rPr>
        <w:t xml:space="preserve">Non-IFRS Gross Profit and Gross Margin. </w:t>
      </w:r>
      <w:r>
        <w:rPr>
          <w:rFonts w:ascii="Arial" w:cs="Arial" w:eastAsia="Arial" w:hAnsi="Arial"/>
          <w:sz w:val="20"/>
          <w:szCs w:val="20"/>
          <w:color w:val="auto"/>
        </w:rPr>
        <w:t>Gogoro defines non-IFRS gross profit and gross margin as gross profit and gross margin</w:t>
      </w:r>
      <w:r>
        <w:rPr>
          <w:rFonts w:ascii="Arial" w:cs="Arial" w:eastAsia="Arial" w:hAnsi="Arial"/>
          <w:sz w:val="20"/>
          <w:szCs w:val="20"/>
          <w:b w:val="1"/>
          <w:bCs w:val="1"/>
          <w:color w:val="auto"/>
        </w:rPr>
        <w:t xml:space="preserve"> </w:t>
      </w:r>
      <w:r>
        <w:rPr>
          <w:rFonts w:ascii="Arial" w:cs="Arial" w:eastAsia="Arial" w:hAnsi="Arial"/>
          <w:sz w:val="20"/>
          <w:szCs w:val="20"/>
          <w:color w:val="auto"/>
        </w:rPr>
        <w:t>excluding share-based compensation.</w:t>
      </w:r>
    </w:p>
    <w:p>
      <w:pPr>
        <w:spacing w:after="0" w:line="204" w:lineRule="exact"/>
        <w:rPr>
          <w:sz w:val="20"/>
          <w:szCs w:val="20"/>
          <w:color w:val="auto"/>
        </w:rPr>
      </w:pPr>
    </w:p>
    <w:p>
      <w:pPr>
        <w:spacing w:after="0" w:line="300" w:lineRule="auto"/>
        <w:rPr>
          <w:sz w:val="20"/>
          <w:szCs w:val="20"/>
          <w:color w:val="auto"/>
        </w:rPr>
      </w:pPr>
      <w:r>
        <w:rPr>
          <w:rFonts w:ascii="Arial" w:cs="Arial" w:eastAsia="Arial" w:hAnsi="Arial"/>
          <w:sz w:val="19"/>
          <w:szCs w:val="19"/>
          <w:b w:val="1"/>
          <w:bCs w:val="1"/>
          <w:color w:val="auto"/>
        </w:rPr>
        <w:t xml:space="preserve">Share-based Compensation </w:t>
      </w:r>
      <w:r>
        <w:rPr>
          <w:rFonts w:ascii="Arial" w:cs="Arial" w:eastAsia="Arial" w:hAnsi="Arial"/>
          <w:sz w:val="19"/>
          <w:szCs w:val="19"/>
          <w:color w:val="auto"/>
        </w:rPr>
        <w:t>consists of non-cash charges related to the fair value of restricted stock units awarded to employees. We believe</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exclusion of these non-cash charges provides for more accurate comparisons of our operating results to our peer companies due to the varying available valuation methodologies, subjective assumptions and the variety of award types. In addition, the Company believes it is useful to investors to understand the specific impact of share-based compensation on its operating results.</w:t>
      </w:r>
    </w:p>
    <w:p>
      <w:pPr>
        <w:spacing w:after="0" w:line="136" w:lineRule="exact"/>
        <w:rPr>
          <w:sz w:val="20"/>
          <w:szCs w:val="20"/>
          <w:color w:val="auto"/>
        </w:rPr>
      </w:pPr>
    </w:p>
    <w:p>
      <w:pPr>
        <w:ind w:right="40"/>
        <w:spacing w:after="0" w:line="281" w:lineRule="auto"/>
        <w:rPr>
          <w:sz w:val="20"/>
          <w:szCs w:val="20"/>
          <w:color w:val="auto"/>
        </w:rPr>
      </w:pPr>
      <w:r>
        <w:rPr>
          <w:rFonts w:ascii="Arial" w:cs="Arial" w:eastAsia="Arial" w:hAnsi="Arial"/>
          <w:sz w:val="20"/>
          <w:szCs w:val="20"/>
          <w:b w:val="1"/>
          <w:bCs w:val="1"/>
          <w:color w:val="auto"/>
        </w:rPr>
        <w:t xml:space="preserve">Non-IFRS Net Loss. </w:t>
      </w:r>
      <w:r>
        <w:rPr>
          <w:rFonts w:ascii="Arial" w:cs="Arial" w:eastAsia="Arial" w:hAnsi="Arial"/>
          <w:sz w:val="20"/>
          <w:szCs w:val="20"/>
          <w:color w:val="auto"/>
        </w:rPr>
        <w:t>Gogoro defines non-IFRS net loss as net loss excluding share-based compensation, the change in fair value of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 including revaluation of redeemable preferred shares, change in fair value of earnout, earn-in and warrants associated with the merger of Poema, and onetime non-recurring costs associated with the merger. These amounts do not reflect the impact of any related tax effects.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Gogoro defines EBITDA, as net loss excluding interest expense, net, provision for income tax,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These amounts do not reflect the impact of any related tax effects.</w:t>
      </w:r>
    </w:p>
    <w:p>
      <w:pPr>
        <w:spacing w:after="0" w:line="264"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Gogoro defines Adjusted EBITDA, as EBITDA excluding share-based compensation, the change in fair value of</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liabilities including revaluation of redeemable preferred shares, change in fair value of earnout, earn-in and warrants associated with the merger of Poema, and onetime non-recurring costs associated with the merger. These amounts do not reflect the impact of any related tax effects.</w:t>
      </w:r>
    </w:p>
    <w:p>
      <w:pPr>
        <w:spacing w:after="0" w:line="219" w:lineRule="exact"/>
        <w:rPr>
          <w:sz w:val="20"/>
          <w:szCs w:val="20"/>
          <w:color w:val="auto"/>
        </w:rPr>
      </w:pPr>
    </w:p>
    <w:p>
      <w:pPr>
        <w:ind w:right="20"/>
        <w:spacing w:after="0" w:line="293" w:lineRule="auto"/>
        <w:rPr>
          <w:sz w:val="20"/>
          <w:szCs w:val="20"/>
          <w:color w:val="auto"/>
        </w:rPr>
      </w:pPr>
      <w:r>
        <w:rPr>
          <w:rFonts w:ascii="Arial" w:cs="Arial" w:eastAsia="Arial" w:hAnsi="Arial"/>
          <w:sz w:val="19"/>
          <w:szCs w:val="19"/>
          <w:b w:val="1"/>
          <w:bCs w:val="1"/>
          <w:color w:val="auto"/>
        </w:rPr>
        <w:t>Acquisition-related Expenses</w:t>
      </w:r>
      <w:r>
        <w:rPr>
          <w:rFonts w:ascii="Arial" w:cs="Arial" w:eastAsia="Arial" w:hAnsi="Arial"/>
          <w:sz w:val="19"/>
          <w:szCs w:val="19"/>
          <w:color w:val="auto"/>
        </w:rPr>
        <w:t>. Gogoro incurs acquisition-related and other expenses which consist of costs incurred after the issuance of a</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definitive term sheet for a particular transaction and include legal, banker, accounting, printer costs, valuation and other advisory fees. Management excludes these items for the purposes of calculating non-IFRS adjusted EBITDA. Gogoro generally would not have otherwise incurred such expenses in the periods presented as part of its continuing operations. The acquisition related expenses are not recurring with respect to past transactions, can be inconsistent in amount and frequency from period to period and are significantly impacted by the timing and magnitude of Gogoro’s acquisitions. While these expenses are not recurring with respect to past transactions, Gogoro generally will incur these expenses in connection with any future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These non-IFRS financial measures exclude share-based compensation, interest expense, income tax, depreciation and amortization, change in fair value of financial liabilities including revaluation of redeemable preferred shares, change in fair value of earnout, earn-in and warrants associated with the merger of Poema, and onetime non-recurring costs associated with the merger.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03" w:lineRule="exact"/>
        <w:rPr>
          <w:sz w:val="20"/>
          <w:szCs w:val="20"/>
          <w:color w:val="auto"/>
        </w:rPr>
      </w:pPr>
    </w:p>
    <w:p>
      <w:pPr>
        <w:ind w:right="20"/>
        <w:spacing w:after="0" w:line="358" w:lineRule="auto"/>
        <w:rPr>
          <w:sz w:val="20"/>
          <w:szCs w:val="20"/>
          <w:color w:val="auto"/>
        </w:rPr>
      </w:pPr>
      <w:r>
        <w:rPr>
          <w:rFonts w:ascii="Arial" w:cs="Arial" w:eastAsia="Arial" w:hAnsi="Arial"/>
          <w:sz w:val="16"/>
          <w:szCs w:val="16"/>
          <w:color w:val="auto"/>
        </w:rPr>
        <w:t>Non-IFRS financial measures are not meant to be considered in isolation or as a substitute for the comparable IFRS financial measures. Non-IFRS financial measures are subject to limitations and should be read only in conjunction with the Company's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ectPr>
          <w:pgSz w:w="11900" w:h="16838" w:orient="portrait"/>
          <w:cols w:equalWidth="0" w:num="1">
            <w:col w:w="11240"/>
          </w:cols>
          <w:pgMar w:left="320" w:top="104" w:right="339" w:bottom="1440" w:gutter="0" w:footer="0" w:header="0"/>
        </w:sectPr>
      </w:pP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Gogoro Investor Contact:</w:t>
      </w:r>
    </w:p>
    <w:p>
      <w:pPr>
        <w:spacing w:after="0" w:line="145"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Jason Gordon, Gogoro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Michael Bowen, ICR, LLC.</w:t>
      </w:r>
    </w:p>
    <w:p>
      <w:pPr>
        <w:spacing w:after="0" w:line="117"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 (206) 778-7245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gogoroIR@icrinc.com</w:t>
      </w:r>
    </w:p>
    <w:p>
      <w:pPr>
        <w:spacing w:after="0" w:line="117"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jason.gordon@gogoro.com</w:t>
      </w:r>
    </w:p>
    <w:p>
      <w:pPr>
        <w:spacing w:after="0" w:line="20" w:lineRule="exact"/>
        <w:rPr>
          <w:sz w:val="20"/>
          <w:szCs w:val="20"/>
          <w:color w:val="auto"/>
        </w:rPr>
      </w:pPr>
      <w:r>
        <w:rPr>
          <w:sz w:val="20"/>
          <w:szCs w:val="20"/>
          <w:color w:val="auto"/>
        </w:rPr>
        <w:br w:type="column"/>
      </w:r>
    </w:p>
    <w:p>
      <w:pPr>
        <w:jc w:val="center"/>
        <w:ind w:right="3940"/>
        <w:spacing w:after="0"/>
        <w:rPr>
          <w:sz w:val="20"/>
          <w:szCs w:val="20"/>
          <w:color w:val="auto"/>
        </w:rPr>
      </w:pPr>
      <w:r>
        <w:rPr>
          <w:rFonts w:ascii="Arial" w:cs="Arial" w:eastAsia="Arial" w:hAnsi="Arial"/>
          <w:sz w:val="18"/>
          <w:szCs w:val="18"/>
          <w:color w:val="auto"/>
        </w:rPr>
        <w:t>ir@gogoro.com</w:t>
      </w:r>
    </w:p>
    <w:p>
      <w:pPr>
        <w:spacing w:after="0" w:line="200" w:lineRule="exact"/>
        <w:rPr>
          <w:sz w:val="20"/>
          <w:szCs w:val="20"/>
          <w:color w:val="auto"/>
        </w:rPr>
      </w:pPr>
    </w:p>
    <w:p>
      <w:pPr>
        <w:sectPr>
          <w:pgSz w:w="11900" w:h="16838" w:orient="portrait"/>
          <w:cols w:equalWidth="0" w:num="2">
            <w:col w:w="5320" w:space="720"/>
            <w:col w:w="5200"/>
          </w:cols>
          <w:pgMar w:left="32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04" w:right="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Condensed Consolidated Balance Sheet</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(in thousands of U.S. dollars)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61"/>
        </w:trPr>
        <w:tc>
          <w:tcPr>
            <w:tcW w:w="71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20"/>
                <w:szCs w:val="20"/>
                <w:b w:val="1"/>
                <w:bCs w:val="1"/>
                <w:color w:val="auto"/>
              </w:rPr>
              <w:t>2022</w:t>
            </w:r>
          </w:p>
        </w:tc>
      </w:tr>
      <w:tr>
        <w:trPr>
          <w:trHeight w:val="228"/>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167,082</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236,100</w:t>
            </w:r>
          </w:p>
        </w:tc>
      </w:tr>
      <w:tr>
        <w:trPr>
          <w:trHeight w:val="237"/>
        </w:trPr>
        <w:tc>
          <w:tcPr>
            <w:tcW w:w="7140" w:type="dxa"/>
            <w:vAlign w:val="bottom"/>
          </w:tcPr>
          <w:p>
            <w:pPr>
              <w:ind w:left="120"/>
              <w:spacing w:after="0"/>
              <w:rPr>
                <w:sz w:val="20"/>
                <w:szCs w:val="20"/>
                <w:color w:val="auto"/>
              </w:rPr>
            </w:pPr>
            <w:r>
              <w:rPr>
                <w:rFonts w:ascii="Arial" w:cs="Arial" w:eastAsia="Arial" w:hAnsi="Arial"/>
                <w:sz w:val="18"/>
                <w:szCs w:val="18"/>
                <w:color w:val="auto"/>
              </w:rPr>
              <w:t>Trade receivables</w:t>
            </w: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20,411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16,143</w:t>
            </w:r>
          </w:p>
        </w:tc>
      </w:tr>
      <w:tr>
        <w:trPr>
          <w:trHeight w:val="23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131,649</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114,701</w:t>
            </w:r>
          </w:p>
        </w:tc>
      </w:tr>
      <w:tr>
        <w:trPr>
          <w:trHeight w:val="230"/>
        </w:trPr>
        <w:tc>
          <w:tcPr>
            <w:tcW w:w="7140" w:type="dxa"/>
            <w:vAlign w:val="bottom"/>
          </w:tcPr>
          <w:p>
            <w:pPr>
              <w:ind w:left="120"/>
              <w:spacing w:after="0"/>
              <w:rPr>
                <w:sz w:val="20"/>
                <w:szCs w:val="20"/>
                <w:color w:val="auto"/>
              </w:rPr>
            </w:pPr>
            <w:r>
              <w:rPr>
                <w:rFonts w:ascii="Arial" w:cs="Arial" w:eastAsia="Arial" w:hAnsi="Arial"/>
                <w:sz w:val="18"/>
                <w:szCs w:val="18"/>
                <w:color w:val="auto"/>
              </w:rPr>
              <w:t>Other assets, current</w:t>
            </w: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30,961</w:t>
            </w:r>
          </w:p>
        </w:tc>
      </w:tr>
      <w:tr>
        <w:trPr>
          <w:trHeight w:val="236"/>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349,018</w:t>
            </w:r>
          </w:p>
        </w:tc>
        <w:tc>
          <w:tcPr>
            <w:tcW w:w="2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397,905</w:t>
            </w:r>
          </w:p>
        </w:tc>
      </w:tr>
      <w:tr>
        <w:trPr>
          <w:trHeight w:val="237"/>
        </w:trPr>
        <w:tc>
          <w:tcPr>
            <w:tcW w:w="7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441,361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442,969</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Equity investment</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16,279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Other assets, non-current</w:t>
            </w: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11,460</w:t>
            </w:r>
          </w:p>
        </w:tc>
      </w:tr>
      <w:tr>
        <w:trPr>
          <w:trHeight w:val="243"/>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840,985</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873,423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36"/>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current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77,602</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87,982</w:t>
            </w:r>
          </w:p>
        </w:tc>
      </w:tr>
      <w:tr>
        <w:trPr>
          <w:trHeight w:val="230"/>
        </w:trPr>
        <w:tc>
          <w:tcPr>
            <w:tcW w:w="7140" w:type="dxa"/>
            <w:vAlign w:val="bottom"/>
          </w:tcPr>
          <w:p>
            <w:pPr>
              <w:ind w:left="120"/>
              <w:spacing w:after="0"/>
              <w:rPr>
                <w:sz w:val="20"/>
                <w:szCs w:val="20"/>
                <w:color w:val="auto"/>
              </w:rPr>
            </w:pPr>
            <w:r>
              <w:rPr>
                <w:rFonts w:ascii="Arial" w:cs="Arial" w:eastAsia="Arial" w:hAnsi="Arial"/>
                <w:sz w:val="18"/>
                <w:szCs w:val="18"/>
                <w:color w:val="auto"/>
              </w:rPr>
              <w:t>Financial liabilities at fair value</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65,462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46,949</w:t>
            </w:r>
          </w:p>
        </w:tc>
      </w:tr>
      <w:tr>
        <w:trPr>
          <w:trHeight w:val="243"/>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and trade payables</w:t>
            </w:r>
          </w:p>
        </w:tc>
        <w:tc>
          <w:tcPr>
            <w:tcW w:w="3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39,448</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w:t>
            </w:r>
          </w:p>
        </w:tc>
      </w:tr>
      <w:tr>
        <w:trPr>
          <w:trHeight w:val="230"/>
        </w:trPr>
        <w:tc>
          <w:tcPr>
            <w:tcW w:w="7140" w:type="dxa"/>
            <w:vAlign w:val="bottom"/>
          </w:tcPr>
          <w:p>
            <w:pPr>
              <w:ind w:left="12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17,025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12,965</w:t>
            </w:r>
          </w:p>
        </w:tc>
      </w:tr>
      <w:tr>
        <w:trPr>
          <w:trHeight w:val="230"/>
        </w:trPr>
        <w:tc>
          <w:tcPr>
            <w:tcW w:w="7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current</w:t>
            </w:r>
          </w:p>
        </w:tc>
        <w:tc>
          <w:tcPr>
            <w:tcW w:w="3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w:t>
            </w:r>
          </w:p>
        </w:tc>
      </w:tr>
      <w:tr>
        <w:trPr>
          <w:trHeight w:val="237"/>
        </w:trPr>
        <w:tc>
          <w:tcPr>
            <w:tcW w:w="7140" w:type="dxa"/>
            <w:vAlign w:val="bottom"/>
          </w:tcPr>
          <w:p>
            <w:pPr>
              <w:ind w:left="120"/>
              <w:spacing w:after="0"/>
              <w:rPr>
                <w:sz w:val="20"/>
                <w:szCs w:val="20"/>
                <w:color w:val="auto"/>
              </w:rPr>
            </w:pPr>
            <w:r>
              <w:rPr>
                <w:rFonts w:ascii="Arial" w:cs="Arial" w:eastAsia="Arial" w:hAnsi="Arial"/>
                <w:sz w:val="18"/>
                <w:szCs w:val="18"/>
                <w:color w:val="auto"/>
              </w:rPr>
              <w:t>Provisions for product warranty, current</w:t>
            </w: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3,826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4,812</w:t>
            </w:r>
          </w:p>
        </w:tc>
      </w:tr>
      <w:tr>
        <w:trPr>
          <w:trHeight w:val="236"/>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 current</w:t>
            </w:r>
          </w:p>
        </w:tc>
        <w:tc>
          <w:tcPr>
            <w:tcW w:w="3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37,673</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46,506</w:t>
            </w:r>
          </w:p>
        </w:tc>
      </w:tr>
      <w:tr>
        <w:trPr>
          <w:trHeight w:val="223"/>
        </w:trPr>
        <w:tc>
          <w:tcPr>
            <w:tcW w:w="714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250,667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248,166</w:t>
            </w:r>
          </w:p>
        </w:tc>
      </w:tr>
      <w:tr>
        <w:trPr>
          <w:trHeight w:val="236"/>
        </w:trPr>
        <w:tc>
          <w:tcPr>
            <w:tcW w:w="7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Borrowings, non-current</w:t>
            </w: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289,122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293,192</w:t>
            </w:r>
          </w:p>
        </w:tc>
      </w:tr>
      <w:tr>
        <w:trPr>
          <w:trHeight w:val="23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Provisions for product warranty, non-current</w:t>
            </w:r>
          </w:p>
        </w:tc>
        <w:tc>
          <w:tcPr>
            <w:tcW w:w="34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3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13,134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11,400</w:t>
            </w:r>
          </w:p>
        </w:tc>
      </w:tr>
      <w:tr>
        <w:trPr>
          <w:trHeight w:val="24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3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18,082</w:t>
            </w:r>
          </w:p>
        </w:tc>
        <w:tc>
          <w:tcPr>
            <w:tcW w:w="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18,453</w:t>
            </w:r>
          </w:p>
        </w:tc>
      </w:tr>
      <w:tr>
        <w:trPr>
          <w:trHeight w:val="223"/>
        </w:trPr>
        <w:tc>
          <w:tcPr>
            <w:tcW w:w="714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574,279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574,449</w:t>
            </w:r>
          </w:p>
        </w:tc>
      </w:tr>
      <w:tr>
        <w:trPr>
          <w:trHeight w:val="237"/>
        </w:trPr>
        <w:tc>
          <w:tcPr>
            <w:tcW w:w="7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4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266,706</w:t>
            </w:r>
          </w:p>
        </w:tc>
        <w:tc>
          <w:tcPr>
            <w:tcW w:w="2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298,974</w:t>
            </w:r>
          </w:p>
        </w:tc>
      </w:tr>
      <w:tr>
        <w:trPr>
          <w:trHeight w:val="248"/>
        </w:trPr>
        <w:tc>
          <w:tcPr>
            <w:tcW w:w="7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840,985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873,423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80" w:top="10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3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ind w:right="160"/>
        <w:spacing w:after="0"/>
        <w:rPr>
          <w:sz w:val="20"/>
          <w:szCs w:val="20"/>
          <w:color w:val="auto"/>
        </w:rPr>
      </w:pPr>
      <w:r>
        <w:rPr>
          <w:rFonts w:ascii="Arial" w:cs="Arial" w:eastAsia="Arial" w:hAnsi="Arial"/>
          <w:sz w:val="16"/>
          <w:szCs w:val="16"/>
          <w:i w:val="1"/>
          <w:iCs w:val="1"/>
          <w:color w:val="auto"/>
        </w:rPr>
        <w:t>(in thousands of U.S. dollars, except net income (loss) per share)</w:t>
      </w:r>
    </w:p>
    <w:p>
      <w:pPr>
        <w:spacing w:after="0" w:line="296" w:lineRule="exact"/>
        <w:rPr>
          <w:sz w:val="20"/>
          <w:szCs w:val="20"/>
          <w:color w:val="auto"/>
        </w:rPr>
      </w:pPr>
    </w:p>
    <w:p>
      <w:pPr>
        <w:jc w:val="center"/>
        <w:ind w:left="7020"/>
        <w:spacing w:after="0"/>
        <w:rPr>
          <w:sz w:val="20"/>
          <w:szCs w:val="20"/>
          <w:color w:val="auto"/>
        </w:rPr>
      </w:pPr>
      <w:r>
        <w:rPr>
          <w:rFonts w:ascii="Arial" w:cs="Arial" w:eastAsia="Arial" w:hAnsi="Arial"/>
          <w:sz w:val="18"/>
          <w:szCs w:val="18"/>
          <w:b w:val="1"/>
          <w:bCs w:val="1"/>
          <w:color w:val="auto"/>
        </w:rPr>
        <w:t>Three Months</w:t>
      </w:r>
    </w:p>
    <w:p>
      <w:pPr>
        <w:jc w:val="center"/>
        <w:ind w:left="7020"/>
        <w:spacing w:after="0"/>
        <w:rPr>
          <w:sz w:val="20"/>
          <w:szCs w:val="20"/>
          <w:color w:val="auto"/>
        </w:rPr>
      </w:pPr>
      <w:r>
        <w:rPr>
          <w:rFonts w:ascii="Arial" w:cs="Arial" w:eastAsia="Arial" w:hAnsi="Arial"/>
          <w:sz w:val="18"/>
          <w:szCs w:val="18"/>
          <w:b w:val="1"/>
          <w:bCs w:val="1"/>
          <w:color w:val="auto"/>
        </w:rPr>
        <w:t>Ended 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2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4"/>
              </w:rPr>
              <w:t>2022</w:t>
            </w: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79,319</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94,455</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69,058</w:t>
            </w: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81,557</w:t>
            </w:r>
          </w:p>
        </w:tc>
      </w:tr>
      <w:tr>
        <w:trPr>
          <w:trHeight w:val="23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10,261</w:t>
            </w:r>
          </w:p>
        </w:tc>
        <w:tc>
          <w:tcPr>
            <w:tcW w:w="1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12,898</w:t>
            </w:r>
          </w:p>
        </w:tc>
      </w:tr>
      <w:tr>
        <w:trPr>
          <w:trHeight w:val="217"/>
        </w:trPr>
        <w:tc>
          <w:tcPr>
            <w:tcW w:w="7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13,015</w:t>
            </w:r>
          </w:p>
        </w:tc>
      </w:tr>
      <w:tr>
        <w:trPr>
          <w:trHeight w:val="229"/>
        </w:trPr>
        <w:tc>
          <w:tcPr>
            <w:tcW w:w="70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11,099</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10,383</w:t>
            </w:r>
          </w:p>
        </w:tc>
      </w:tr>
      <w:tr>
        <w:trPr>
          <w:trHeight w:val="243"/>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9,553</w:t>
            </w:r>
          </w:p>
        </w:tc>
        <w:tc>
          <w:tcPr>
            <w:tcW w:w="18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9,344</w:t>
            </w:r>
          </w:p>
        </w:tc>
      </w:tr>
      <w:tr>
        <w:trPr>
          <w:trHeight w:val="223"/>
        </w:trPr>
        <w:tc>
          <w:tcPr>
            <w:tcW w:w="7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32,495</w:t>
            </w: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32,742</w:t>
            </w:r>
          </w:p>
        </w:tc>
      </w:tr>
      <w:tr>
        <w:trPr>
          <w:trHeight w:val="22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(22,234)</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Non-operating income and expenses:</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r>
      <w:tr>
        <w:trPr>
          <w:trHeight w:val="237"/>
        </w:trPr>
        <w:tc>
          <w:tcPr>
            <w:tcW w:w="702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1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2,096</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3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financial liabilities</w:t>
            </w:r>
          </w:p>
        </w:tc>
        <w:tc>
          <w:tcPr>
            <w:tcW w:w="1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(18,513)</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9"/>
        </w:trPr>
        <w:tc>
          <w:tcPr>
            <w:tcW w:w="7020" w:type="dxa"/>
            <w:vAlign w:val="bottom"/>
          </w:tcPr>
          <w:p>
            <w:pPr>
              <w:ind w:left="120"/>
              <w:spacing w:after="0"/>
              <w:rPr>
                <w:sz w:val="20"/>
                <w:szCs w:val="20"/>
                <w:color w:val="auto"/>
              </w:rPr>
            </w:pPr>
            <w:r>
              <w:rPr>
                <w:rFonts w:ascii="Arial" w:cs="Arial" w:eastAsia="Arial" w:hAnsi="Arial"/>
                <w:sz w:val="18"/>
                <w:szCs w:val="18"/>
                <w:color w:val="auto"/>
              </w:rPr>
              <w:t>Loss on investment under equity method</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income (expenses)</w:t>
            </w:r>
          </w:p>
        </w:tc>
        <w:tc>
          <w:tcPr>
            <w:tcW w:w="1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18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(40,620)</w:t>
            </w: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(21,717)</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020" w:type="dxa"/>
            <w:vAlign w:val="bottom"/>
          </w:tcPr>
          <w:p>
            <w:pPr>
              <w:ind w:left="120"/>
              <w:spacing w:after="0"/>
              <w:rPr>
                <w:sz w:val="20"/>
                <w:szCs w:val="20"/>
                <w:color w:val="auto"/>
              </w:rPr>
            </w:pPr>
            <w:r>
              <w:rPr>
                <w:rFonts w:ascii="Arial" w:cs="Arial" w:eastAsia="Arial" w:hAnsi="Arial"/>
                <w:sz w:val="18"/>
                <w:szCs w:val="18"/>
                <w:color w:val="auto"/>
              </w:rPr>
              <w:t>Exchange differences on translation</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w:t>
            </w:r>
          </w:p>
        </w:tc>
      </w:tr>
      <w:tr>
        <w:trPr>
          <w:trHeight w:val="25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(38,448)</w:t>
            </w:r>
          </w:p>
        </w:tc>
        <w:tc>
          <w:tcPr>
            <w:tcW w:w="8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Shares used in computing basic and diluted net loss per share</w:t>
            </w:r>
          </w:p>
        </w:tc>
        <w:tc>
          <w:tcPr>
            <w:tcW w:w="1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232,190</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193,334</w:t>
            </w:r>
          </w:p>
        </w:tc>
      </w:tr>
      <w:tr>
        <w:trPr>
          <w:trHeight w:val="323"/>
        </w:trPr>
        <w:tc>
          <w:tcPr>
            <w:tcW w:w="7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Three Months</w:t>
            </w:r>
          </w:p>
        </w:tc>
        <w:tc>
          <w:tcPr>
            <w:tcW w:w="1140" w:type="dxa"/>
            <w:vAlign w:val="bottom"/>
          </w:tcPr>
          <w:p>
            <w:pPr>
              <w:spacing w:after="0"/>
              <w:rPr>
                <w:sz w:val="24"/>
                <w:szCs w:val="24"/>
                <w:color w:val="auto"/>
              </w:rPr>
            </w:pPr>
          </w:p>
        </w:tc>
      </w:tr>
      <w:tr>
        <w:trPr>
          <w:trHeight w:val="239"/>
        </w:trPr>
        <w:tc>
          <w:tcPr>
            <w:tcW w:w="70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0"/>
              </w:rPr>
              <w:t>Ended December 31,</w:t>
            </w:r>
          </w:p>
        </w:tc>
        <w:tc>
          <w:tcPr>
            <w:tcW w:w="1140" w:type="dxa"/>
            <w:vAlign w:val="bottom"/>
            <w:tcBorders>
              <w:bottom w:val="single" w:sz="8" w:color="auto"/>
            </w:tcBorders>
          </w:tcPr>
          <w:p>
            <w:pPr>
              <w:spacing w:after="0"/>
              <w:rPr>
                <w:sz w:val="20"/>
                <w:szCs w:val="20"/>
                <w:color w:val="auto"/>
              </w:rPr>
            </w:pPr>
          </w:p>
        </w:tc>
      </w:tr>
      <w:tr>
        <w:trPr>
          <w:trHeight w:val="22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2023</w:t>
            </w: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4"/>
              </w:rPr>
              <w:t>2022</w:t>
            </w:r>
          </w:p>
        </w:tc>
      </w:tr>
      <w:tr>
        <w:trPr>
          <w:trHeight w:val="223"/>
        </w:trPr>
        <w:tc>
          <w:tcPr>
            <w:tcW w:w="7020" w:type="dxa"/>
            <w:vAlign w:val="bottom"/>
          </w:tcPr>
          <w:p>
            <w:pPr>
              <w:ind w:left="120"/>
              <w:spacing w:after="0"/>
              <w:rPr>
                <w:sz w:val="20"/>
                <w:szCs w:val="20"/>
                <w:color w:val="auto"/>
              </w:rPr>
            </w:pPr>
            <w:r>
              <w:rPr>
                <w:rFonts w:ascii="Arial" w:cs="Arial" w:eastAsia="Arial" w:hAnsi="Arial"/>
                <w:sz w:val="18"/>
                <w:szCs w:val="18"/>
                <w:color w:val="auto"/>
              </w:rPr>
              <w:t>Sales of hardware and others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47,056</w:t>
            </w:r>
          </w:p>
        </w:tc>
        <w:tc>
          <w:tcPr>
            <w:tcW w:w="18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65,074</w:t>
            </w:r>
          </w:p>
        </w:tc>
      </w:tr>
      <w:tr>
        <w:trPr>
          <w:trHeight w:val="230"/>
        </w:trPr>
        <w:tc>
          <w:tcPr>
            <w:tcW w:w="7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Battery swapping service</w:t>
            </w:r>
          </w:p>
        </w:tc>
        <w:tc>
          <w:tcPr>
            <w:tcW w:w="1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32,263</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29,381</w:t>
            </w:r>
          </w:p>
        </w:tc>
      </w:tr>
      <w:tr>
        <w:trPr>
          <w:trHeight w:val="236"/>
        </w:trPr>
        <w:tc>
          <w:tcPr>
            <w:tcW w:w="7020" w:type="dxa"/>
            <w:vAlign w:val="bottom"/>
          </w:tcPr>
          <w:p>
            <w:pPr>
              <w:ind w:left="240"/>
              <w:spacing w:after="0"/>
              <w:rPr>
                <w:sz w:val="20"/>
                <w:szCs w:val="20"/>
                <w:color w:val="auto"/>
              </w:rPr>
            </w:pPr>
            <w:r>
              <w:rPr>
                <w:rFonts w:ascii="Arial" w:cs="Arial" w:eastAsia="Arial" w:hAnsi="Arial"/>
                <w:sz w:val="18"/>
                <w:szCs w:val="18"/>
                <w:color w:val="auto"/>
              </w:rPr>
              <w:t>Operating revenues</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79,319</w:t>
            </w:r>
          </w:p>
        </w:tc>
        <w:tc>
          <w:tcPr>
            <w:tcW w:w="88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94,455</w:t>
            </w:r>
          </w:p>
        </w:tc>
      </w:tr>
      <w:tr>
        <w:trPr>
          <w:trHeight w:val="20"/>
        </w:trPr>
        <w:tc>
          <w:tcPr>
            <w:tcW w:w="70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ectPr>
          <w:pgSz w:w="11900" w:h="16838" w:orient="portrait"/>
          <w:cols w:equalWidth="0" w:num="1">
            <w:col w:w="11080"/>
          </w:cols>
          <w:pgMar w:left="480" w:top="104"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 of revenues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Sales and marketing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General and administrative</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18"/>
          <w:szCs w:val="18"/>
          <w:b w:val="1"/>
          <w:bCs w:val="1"/>
          <w:color w:val="auto"/>
        </w:rPr>
        <w:t>Three Months</w:t>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-4458970</wp:posOffset>
            </wp:positionH>
            <wp:positionV relativeFrom="paragraph">
              <wp:posOffset>13335</wp:posOffset>
            </wp:positionV>
            <wp:extent cx="694372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43725"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24"/>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41"/>
        </w:trPr>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842</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30"/>
        </w:trPr>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2,777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37"/>
        </w:trPr>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r>
      <w:tr>
        <w:trPr>
          <w:trHeight w:val="230"/>
        </w:trPr>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-4458970</wp:posOffset>
            </wp:positionH>
            <wp:positionV relativeFrom="paragraph">
              <wp:posOffset>-633730</wp:posOffset>
            </wp:positionV>
            <wp:extent cx="694372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3725" cy="146050"/>
                    </a:xfrm>
                    <a:prstGeom prst="rect">
                      <a:avLst/>
                    </a:prstGeom>
                    <a:noFill/>
                  </pic:spPr>
                </pic:pic>
              </a:graphicData>
            </a:graphic>
          </wp:anchor>
        </w:drawing>
        <w:drawing>
          <wp:anchor simplePos="0" relativeHeight="251657728" behindDoc="1" locked="0" layoutInCell="0" allowOverlap="1">
            <wp:simplePos x="0" y="0"/>
            <wp:positionH relativeFrom="column">
              <wp:posOffset>-4458970</wp:posOffset>
            </wp:positionH>
            <wp:positionV relativeFrom="paragraph">
              <wp:posOffset>-342265</wp:posOffset>
            </wp:positionV>
            <wp:extent cx="694372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372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00" w:space="720"/>
            <w:col w:w="4060"/>
          </w:cols>
          <w:pgMar w:left="48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80"/>
          </w:cols>
          <w:pgMar w:left="480" w:top="104"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of U.S. dollars)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Three Months Ended March 31,</w:t>
            </w:r>
          </w:p>
        </w:tc>
        <w:tc>
          <w:tcPr>
            <w:tcW w:w="1320" w:type="dxa"/>
            <w:vAlign w:val="bottom"/>
            <w:tcBorders>
              <w:bottom w:val="single" w:sz="8" w:color="auto"/>
            </w:tcBorders>
          </w:tcPr>
          <w:p>
            <w:pPr>
              <w:spacing w:after="0"/>
              <w:rPr>
                <w:sz w:val="18"/>
                <w:szCs w:val="18"/>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w w:val="84"/>
              </w:rPr>
              <w:t>2022</w:t>
            </w: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320" w:type="dxa"/>
            <w:vAlign w:val="bottom"/>
          </w:tcPr>
          <w:p>
            <w:pPr>
              <w:jc w:val="right"/>
              <w:ind w:right="1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(40,620)</w:t>
            </w:r>
          </w:p>
        </w:tc>
        <w:tc>
          <w:tcPr>
            <w:tcW w:w="12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(21,717)</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24,675</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25,421</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credit loss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Loss on investment under equity method</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financial liabilities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18,513</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1,897</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2,850</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Loss on disposal and impairment of property and equipment, net</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Write-down of inventories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receivables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(4,932)</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(18,243)</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(20,456)</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(23,765)</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Notes and trade payables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569</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16,005</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Other liabilities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(7,903)</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(12,359)</w:t>
            </w:r>
          </w:p>
        </w:tc>
      </w:tr>
      <w:tr>
        <w:trPr>
          <w:trHeight w:val="219"/>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Provisions for product warranty</w:t>
            </w:r>
          </w:p>
        </w:tc>
        <w:tc>
          <w:tcPr>
            <w:tcW w:w="1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Cash used in operations</w:t>
            </w:r>
          </w:p>
        </w:tc>
        <w:tc>
          <w:tcPr>
            <w:tcW w:w="1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(12,846)</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(30,967)</w:t>
            </w:r>
          </w:p>
        </w:tc>
      </w:tr>
      <w:tr>
        <w:trPr>
          <w:trHeight w:val="21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and tax paid, net</w:t>
            </w:r>
          </w:p>
        </w:tc>
        <w:tc>
          <w:tcPr>
            <w:tcW w:w="1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(2,928)</w:t>
            </w: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Net cash used in operating activities</w:t>
            </w:r>
          </w:p>
        </w:tc>
        <w:tc>
          <w:tcPr>
            <w:tcW w:w="1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(14,735)</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(33,895)</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(17,757)</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(20,352)</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investments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(16,351)</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Increase in refundable deposits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intangible assets, net</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3"/>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Increase (decrease) in time deposits and others</w:t>
            </w:r>
          </w:p>
        </w:tc>
        <w:tc>
          <w:tcPr>
            <w:tcW w:w="1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27,752</w:t>
            </w:r>
          </w:p>
        </w:tc>
      </w:tr>
      <w:tr>
        <w:trPr>
          <w:trHeight w:val="213"/>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(used in) provided by investing activities</w:t>
            </w:r>
          </w:p>
        </w:tc>
        <w:tc>
          <w:tcPr>
            <w:tcW w:w="1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(34,557)</w:t>
            </w: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7,047</w:t>
            </w:r>
          </w:p>
        </w:tc>
      </w:tr>
      <w:tr>
        <w:trPr>
          <w:trHeight w:val="19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32,497</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Repayments of borrowings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(30,093)</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(12,419)</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capital collected in advance</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274,220</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Repayments of financial liabilities at fair value</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(108,149)</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Guarantee deposits (refund) received</w:t>
            </w:r>
          </w:p>
        </w:tc>
        <w:tc>
          <w:tcPr>
            <w:tcW w:w="1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6360" w:type="dxa"/>
            <w:vAlign w:val="bottom"/>
          </w:tcPr>
          <w:p>
            <w:pPr>
              <w:ind w:left="140"/>
              <w:spacing w:after="0"/>
              <w:rPr>
                <w:sz w:val="20"/>
                <w:szCs w:val="20"/>
                <w:color w:val="auto"/>
              </w:rPr>
            </w:pPr>
            <w:r>
              <w:rPr>
                <w:rFonts w:ascii="Arial" w:cs="Arial" w:eastAsia="Arial" w:hAnsi="Arial"/>
                <w:sz w:val="16"/>
                <w:szCs w:val="16"/>
                <w:color w:val="auto"/>
              </w:rPr>
              <w:t>Repayment of the principal portion of lease liabilities</w:t>
            </w:r>
          </w:p>
        </w:tc>
        <w:tc>
          <w:tcPr>
            <w:tcW w:w="1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w:t>
            </w:r>
          </w:p>
        </w:tc>
      </w:tr>
      <w:tr>
        <w:trPr>
          <w:trHeight w:val="210"/>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cash (used in) provided by financing activities</w:t>
            </w:r>
          </w:p>
        </w:tc>
        <w:tc>
          <w:tcPr>
            <w:tcW w:w="1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(20,799)</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182,764</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(8,022)</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(69,018)</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147,894</w:t>
            </w: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236,100</w:t>
            </w:r>
          </w:p>
        </w:tc>
        <w:tc>
          <w:tcPr>
            <w:tcW w:w="2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217,429</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1320" w:type="dxa"/>
            <w:vAlign w:val="bottom"/>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167,082</w:t>
            </w: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365,323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4"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
              <w:spacing w:after="0"/>
              <w:rPr>
                <w:sz w:val="20"/>
                <w:szCs w:val="20"/>
                <w:color w:val="auto"/>
              </w:rPr>
            </w:pPr>
            <w:r>
              <w:rPr>
                <w:rFonts w:ascii="Arial" w:cs="Arial" w:eastAsia="Arial" w:hAnsi="Arial"/>
                <w:sz w:val="16"/>
                <w:szCs w:val="16"/>
                <w:b w:val="1"/>
                <w:bCs w:val="1"/>
                <w:color w:val="auto"/>
              </w:rPr>
              <w:t>GOGORO INC.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300" w:type="dxa"/>
            <w:vAlign w:val="bottom"/>
            <w:gridSpan w:val="10"/>
          </w:tcPr>
          <w:p>
            <w:pPr>
              <w:jc w:val="center"/>
              <w:ind w:right="424"/>
              <w:spacing w:after="0"/>
              <w:rPr>
                <w:sz w:val="20"/>
                <w:szCs w:val="20"/>
                <w:color w:val="auto"/>
              </w:rPr>
            </w:pPr>
            <w:r>
              <w:rPr>
                <w:rFonts w:ascii="Arial" w:cs="Arial" w:eastAsia="Arial" w:hAnsi="Arial"/>
                <w:sz w:val="16"/>
                <w:szCs w:val="16"/>
                <w:b w:val="1"/>
                <w:bCs w:val="1"/>
                <w:color w:val="auto"/>
                <w:w w:val="93"/>
              </w:rPr>
              <w:t>Reconciliation of IFRS Financial Metrics to Non-IFRS</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gridSpan w:val="3"/>
          </w:tcPr>
          <w:p>
            <w:pPr>
              <w:jc w:val="center"/>
              <w:ind w:right="463"/>
              <w:spacing w:after="0"/>
              <w:rPr>
                <w:sz w:val="20"/>
                <w:szCs w:val="20"/>
                <w:color w:val="auto"/>
              </w:rPr>
            </w:pPr>
            <w:r>
              <w:rPr>
                <w:rFonts w:ascii="Arial" w:cs="Arial" w:eastAsia="Arial" w:hAnsi="Arial"/>
                <w:sz w:val="16"/>
                <w:szCs w:val="16"/>
                <w:i w:val="1"/>
                <w:iCs w:val="1"/>
                <w:color w:val="auto"/>
                <w:w w:val="93"/>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4"/>
          </w:tcPr>
          <w:p>
            <w:pPr>
              <w:jc w:val="center"/>
              <w:ind w:left="503"/>
              <w:spacing w:after="0"/>
              <w:rPr>
                <w:sz w:val="20"/>
                <w:szCs w:val="20"/>
                <w:color w:val="auto"/>
              </w:rPr>
            </w:pPr>
            <w:r>
              <w:rPr>
                <w:rFonts w:ascii="Arial" w:cs="Arial" w:eastAsia="Arial" w:hAnsi="Arial"/>
                <w:sz w:val="16"/>
                <w:szCs w:val="16"/>
                <w:i w:val="1"/>
                <w:iCs w:val="1"/>
                <w:color w:val="auto"/>
                <w:w w:val="93"/>
              </w:rPr>
              <w:t>(in thousands of U.S. dollars)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5"/>
                <w:szCs w:val="15"/>
                <w:b w:val="1"/>
                <w:bCs w:val="1"/>
                <w:color w:val="auto"/>
                <w:w w:val="99"/>
              </w:rPr>
              <w:t>Three Months Ended March 31,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w w:val="90"/>
              </w:rPr>
              <w:t>Revenue excluding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IFRS revenue YoY</w:t>
            </w:r>
          </w:p>
        </w:tc>
        <w:tc>
          <w:tcPr>
            <w:tcW w:w="100" w:type="dxa"/>
            <w:vAlign w:val="bottom"/>
          </w:tcPr>
          <w:p>
            <w:pPr>
              <w:spacing w:after="0"/>
              <w:rPr>
                <w:sz w:val="12"/>
                <w:szCs w:val="12"/>
                <w:color w:val="auto"/>
              </w:rPr>
            </w:pPr>
          </w:p>
        </w:tc>
        <w:tc>
          <w:tcPr>
            <w:tcW w:w="146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89"/>
              </w:rPr>
              <w:t>Revenue excluding</w:t>
            </w: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spacing w:after="0" w:line="159" w:lineRule="exact"/>
              <w:rPr>
                <w:sz w:val="20"/>
                <w:szCs w:val="20"/>
                <w:color w:val="auto"/>
              </w:rPr>
            </w:pPr>
            <w:r>
              <w:rPr>
                <w:rFonts w:ascii="Arial" w:cs="Arial" w:eastAsia="Arial" w:hAnsi="Arial"/>
                <w:sz w:val="15"/>
                <w:szCs w:val="15"/>
                <w:b w:val="1"/>
                <w:bCs w:val="1"/>
                <w:color w:val="auto"/>
                <w:w w:val="91"/>
              </w:rPr>
              <w:t>FX effect YoY change</w:t>
            </w:r>
          </w:p>
        </w:tc>
        <w:tc>
          <w:tcPr>
            <w:tcW w:w="0" w:type="dxa"/>
            <w:vAlign w:val="bottom"/>
          </w:tcPr>
          <w:p>
            <w:pPr>
              <w:spacing w:after="0"/>
              <w:rPr>
                <w:sz w:val="1"/>
                <w:szCs w:val="1"/>
                <w:color w:val="auto"/>
              </w:rPr>
            </w:pPr>
          </w:p>
        </w:tc>
      </w:tr>
      <w:tr>
        <w:trPr>
          <w:trHeight w:val="202"/>
        </w:trPr>
        <w:tc>
          <w:tcPr>
            <w:tcW w:w="2140" w:type="dxa"/>
            <w:vAlign w:val="bottom"/>
          </w:tcPr>
          <w:p>
            <w:pPr>
              <w:ind w:left="20"/>
              <w:spacing w:after="0"/>
              <w:rPr>
                <w:sz w:val="20"/>
                <w:szCs w:val="20"/>
                <w:color w:val="auto"/>
              </w:rPr>
            </w:pPr>
            <w:r>
              <w:rPr>
                <w:rFonts w:ascii="Arial" w:cs="Arial" w:eastAsia="Arial" w:hAnsi="Arial"/>
                <w:sz w:val="15"/>
                <w:szCs w:val="15"/>
                <w:color w:val="auto"/>
              </w:rPr>
              <w:t>Operating revenues: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8"/>
              </w:rPr>
              <w:t>IFRS revenue</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FX effect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4"/>
              </w:rPr>
              <w:t>FX effect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8"/>
              </w:rPr>
              <w:t>IFRS revenue</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change %</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Sales of hardware and others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47,056</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4,032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51,088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65,074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12"/>
        </w:trPr>
        <w:tc>
          <w:tcPr>
            <w:tcW w:w="21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Battery swapping service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32,263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2,760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29,381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9.8 %</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19.2 %</w:t>
            </w:r>
          </w:p>
        </w:tc>
        <w:tc>
          <w:tcPr>
            <w:tcW w:w="0" w:type="dxa"/>
            <w:vAlign w:val="bottom"/>
          </w:tcPr>
          <w:p>
            <w:pPr>
              <w:spacing w:after="0"/>
              <w:rPr>
                <w:sz w:val="1"/>
                <w:szCs w:val="1"/>
                <w:color w:val="auto"/>
              </w:rPr>
            </w:pPr>
          </w:p>
        </w:tc>
      </w:tr>
      <w:tr>
        <w:trPr>
          <w:trHeight w:val="220"/>
        </w:trPr>
        <w:tc>
          <w:tcPr>
            <w:tcW w:w="21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Operating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79,319</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6,792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94,455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1">
            <w:col w:w="10960"/>
          </w:cols>
          <w:pgMar w:left="60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Gross profit and gross margin</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Share-based compensation</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Non-IFRS gross profit and gross margin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Net loss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Share-based compensation</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Change in fair value of financial liabilities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Acquisition-related expenses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Non-IFRS net loss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Net loss</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Interest expense, net</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Depreciation and amortization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EBITDA</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Share-based compensation</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Change in fair value of financial liabilities</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Acquisition-related expenses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Adjusted EBITDA</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5"/>
          <w:szCs w:val="15"/>
          <w:b w:val="1"/>
          <w:bCs w:val="1"/>
          <w:color w:val="auto"/>
        </w:rPr>
        <w:t>Three Months</w:t>
      </w:r>
    </w:p>
    <w:p>
      <w:pPr>
        <w:jc w:val="center"/>
        <w:ind w:right="240"/>
        <w:spacing w:after="0"/>
        <w:rPr>
          <w:sz w:val="20"/>
          <w:szCs w:val="20"/>
          <w:color w:val="auto"/>
        </w:rPr>
      </w:pPr>
      <w:r>
        <w:rPr>
          <w:rFonts w:ascii="Arial" w:cs="Arial" w:eastAsia="Arial" w:hAnsi="Arial"/>
          <w:sz w:val="15"/>
          <w:szCs w:val="15"/>
          <w:b w:val="1"/>
          <w:bCs w:val="1"/>
          <w:color w:val="auto"/>
        </w:rPr>
        <w:t>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5"/>
                <w:szCs w:val="15"/>
                <w:b w:val="1"/>
                <w:bCs w:val="1"/>
                <w:color w:val="auto"/>
              </w:rPr>
              <w:t>2023</w:t>
            </w:r>
          </w:p>
        </w:tc>
        <w:tc>
          <w:tcPr>
            <w:tcW w:w="6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5"/>
                <w:szCs w:val="15"/>
                <w:b w:val="1"/>
                <w:bCs w:val="1"/>
                <w:color w:val="auto"/>
              </w:rPr>
              <w:t>2022</w:t>
            </w:r>
          </w:p>
        </w:tc>
        <w:tc>
          <w:tcPr>
            <w:tcW w:w="700" w:type="dxa"/>
            <w:vAlign w:val="bottom"/>
            <w:tcBorders>
              <w:top w:val="single" w:sz="8" w:color="auto"/>
              <w:bottom w:val="single" w:sz="8" w:color="auto"/>
            </w:tcBorders>
          </w:tcPr>
          <w:p>
            <w:pPr>
              <w:spacing w:after="0"/>
              <w:rPr>
                <w:sz w:val="18"/>
                <w:szCs w:val="18"/>
                <w:color w:val="auto"/>
              </w:rPr>
            </w:pPr>
          </w:p>
        </w:tc>
      </w:tr>
      <w:tr>
        <w:trPr>
          <w:trHeight w:val="194"/>
        </w:trPr>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10,261</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12.9 %</w:t>
            </w:r>
          </w:p>
        </w:tc>
        <w:tc>
          <w:tcPr>
            <w:tcW w:w="5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12,898</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13.7 %</w:t>
            </w:r>
          </w:p>
        </w:tc>
      </w:tr>
      <w:tr>
        <w:trPr>
          <w:trHeight w:val="207"/>
        </w:trPr>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610</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529</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3"/>
        </w:trPr>
        <w:tc>
          <w:tcPr>
            <w:tcW w:w="380" w:type="dxa"/>
            <w:vAlign w:val="bottom"/>
          </w:tcPr>
          <w:p>
            <w:pPr>
              <w:jc w:val="right"/>
              <w:ind w:right="20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10,871</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13.7 %</w:t>
            </w:r>
          </w:p>
        </w:tc>
        <w:tc>
          <w:tcPr>
            <w:tcW w:w="5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13,427</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14.2 %</w:t>
            </w:r>
          </w:p>
        </w:tc>
      </w:tr>
      <w:tr>
        <w:trPr>
          <w:trHeight w:val="21"/>
        </w:trPr>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-445135</wp:posOffset>
            </wp:positionV>
            <wp:extent cx="682371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3710" cy="13716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-170815</wp:posOffset>
            </wp:positionV>
            <wp:extent cx="682371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3710" cy="154305"/>
                    </a:xfrm>
                    <a:prstGeom prst="rect">
                      <a:avLst/>
                    </a:prstGeom>
                    <a:noFill/>
                  </pic:spPr>
                </pic:pic>
              </a:graphicData>
            </a:graphic>
          </wp:anchor>
        </w:drawing>
      </w:r>
    </w:p>
    <w:p>
      <w:pPr>
        <w:spacing w:after="0" w:line="49" w:lineRule="exact"/>
        <w:rPr>
          <w:sz w:val="20"/>
          <w:szCs w:val="20"/>
          <w:color w:val="auto"/>
        </w:rPr>
      </w:pPr>
    </w:p>
    <w:p>
      <w:pPr>
        <w:jc w:val="center"/>
        <w:ind w:right="240"/>
        <w:spacing w:after="0"/>
        <w:rPr>
          <w:sz w:val="20"/>
          <w:szCs w:val="20"/>
          <w:color w:val="auto"/>
        </w:rPr>
      </w:pPr>
      <w:r>
        <w:rPr>
          <w:rFonts w:ascii="Arial" w:cs="Arial" w:eastAsia="Arial" w:hAnsi="Arial"/>
          <w:sz w:val="15"/>
          <w:szCs w:val="15"/>
          <w:b w:val="1"/>
          <w:bCs w:val="1"/>
          <w:color w:val="auto"/>
        </w:rPr>
        <w:t>Three Months</w:t>
      </w:r>
    </w:p>
    <w:p>
      <w:pPr>
        <w:jc w:val="center"/>
        <w:ind w:right="240"/>
        <w:spacing w:after="0"/>
        <w:rPr>
          <w:sz w:val="20"/>
          <w:szCs w:val="20"/>
          <w:color w:val="auto"/>
        </w:rPr>
      </w:pPr>
      <w:r>
        <w:rPr>
          <w:rFonts w:ascii="Arial" w:cs="Arial" w:eastAsia="Arial" w:hAnsi="Arial"/>
          <w:sz w:val="15"/>
          <w:szCs w:val="15"/>
          <w:b w:val="1"/>
          <w:bCs w:val="1"/>
          <w:color w:val="auto"/>
        </w:rPr>
        <w:t>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864"/>
              <w:spacing w:after="0"/>
              <w:rPr>
                <w:sz w:val="20"/>
                <w:szCs w:val="20"/>
                <w:color w:val="auto"/>
              </w:rPr>
            </w:pPr>
            <w:r>
              <w:rPr>
                <w:rFonts w:ascii="Arial" w:cs="Arial" w:eastAsia="Arial" w:hAnsi="Arial"/>
                <w:sz w:val="15"/>
                <w:szCs w:val="15"/>
                <w:b w:val="1"/>
                <w:bCs w:val="1"/>
                <w:color w:val="auto"/>
              </w:rPr>
              <w:t>2022</w:t>
            </w:r>
          </w:p>
        </w:tc>
      </w:tr>
      <w:tr>
        <w:trPr>
          <w:trHeight w:val="194"/>
        </w:trPr>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(40,620)</w:t>
            </w:r>
          </w:p>
        </w:tc>
        <w:tc>
          <w:tcPr>
            <w:tcW w:w="6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84"/>
              <w:spacing w:after="0"/>
              <w:rPr>
                <w:sz w:val="20"/>
                <w:szCs w:val="20"/>
                <w:color w:val="auto"/>
              </w:rPr>
            </w:pPr>
            <w:r>
              <w:rPr>
                <w:rFonts w:ascii="Arial" w:cs="Arial" w:eastAsia="Arial" w:hAnsi="Arial"/>
                <w:sz w:val="15"/>
                <w:szCs w:val="15"/>
                <w:color w:val="auto"/>
              </w:rPr>
              <w:t>(21,717)</w:t>
            </w:r>
          </w:p>
        </w:tc>
      </w:tr>
      <w:tr>
        <w:trPr>
          <w:trHeight w:val="203"/>
        </w:trPr>
        <w:tc>
          <w:tcPr>
            <w:tcW w:w="520" w:type="dxa"/>
            <w:vAlign w:val="bottom"/>
          </w:tcPr>
          <w:p>
            <w:pPr>
              <w:spacing w:after="0"/>
              <w:rPr>
                <w:sz w:val="17"/>
                <w:szCs w:val="17"/>
                <w:color w:val="auto"/>
              </w:rPr>
            </w:pPr>
          </w:p>
        </w:tc>
        <w:tc>
          <w:tcPr>
            <w:tcW w:w="1640" w:type="dxa"/>
            <w:vAlign w:val="bottom"/>
          </w:tcPr>
          <w:p>
            <w:pPr>
              <w:jc w:val="right"/>
              <w:ind w:right="104"/>
              <w:spacing w:after="0"/>
              <w:rPr>
                <w:sz w:val="20"/>
                <w:szCs w:val="20"/>
                <w:color w:val="auto"/>
              </w:rPr>
            </w:pPr>
            <w:r>
              <w:rPr>
                <w:rFonts w:ascii="Arial" w:cs="Arial" w:eastAsia="Arial" w:hAnsi="Arial"/>
                <w:sz w:val="15"/>
                <w:szCs w:val="15"/>
                <w:color w:val="auto"/>
              </w:rPr>
              <w:t>6,166</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4,362</w:t>
            </w:r>
          </w:p>
        </w:tc>
      </w:tr>
      <w:tr>
        <w:trPr>
          <w:trHeight w:val="203"/>
        </w:trPr>
        <w:tc>
          <w:tcPr>
            <w:tcW w:w="520" w:type="dxa"/>
            <w:vAlign w:val="bottom"/>
          </w:tcPr>
          <w:p>
            <w:pPr>
              <w:spacing w:after="0"/>
              <w:rPr>
                <w:sz w:val="17"/>
                <w:szCs w:val="17"/>
                <w:color w:val="auto"/>
              </w:rPr>
            </w:pPr>
          </w:p>
        </w:tc>
        <w:tc>
          <w:tcPr>
            <w:tcW w:w="1640" w:type="dxa"/>
            <w:vAlign w:val="bottom"/>
          </w:tcPr>
          <w:p>
            <w:pPr>
              <w:jc w:val="right"/>
              <w:ind w:right="104"/>
              <w:spacing w:after="0"/>
              <w:rPr>
                <w:sz w:val="20"/>
                <w:szCs w:val="20"/>
                <w:color w:val="auto"/>
              </w:rPr>
            </w:pPr>
            <w:r>
              <w:rPr>
                <w:rFonts w:ascii="Arial" w:cs="Arial" w:eastAsia="Arial" w:hAnsi="Arial"/>
                <w:sz w:val="15"/>
                <w:szCs w:val="15"/>
                <w:color w:val="auto"/>
              </w:rPr>
              <w:t>18,513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287</w:t>
            </w:r>
          </w:p>
        </w:tc>
      </w:tr>
      <w:tr>
        <w:trPr>
          <w:trHeight w:val="220"/>
        </w:trPr>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2,315</w:t>
            </w:r>
          </w:p>
        </w:tc>
      </w:tr>
      <w:tr>
        <w:trPr>
          <w:trHeight w:val="196"/>
        </w:trPr>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(15,941)</w:t>
            </w:r>
          </w:p>
        </w:tc>
        <w:tc>
          <w:tcPr>
            <w:tcW w:w="6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84"/>
              <w:spacing w:after="0"/>
              <w:rPr>
                <w:sz w:val="20"/>
                <w:szCs w:val="20"/>
                <w:color w:val="auto"/>
              </w:rPr>
            </w:pPr>
            <w:r>
              <w:rPr>
                <w:rFonts w:ascii="Arial" w:cs="Arial" w:eastAsia="Arial" w:hAnsi="Arial"/>
                <w:sz w:val="15"/>
                <w:szCs w:val="15"/>
                <w:color w:val="auto"/>
              </w:rPr>
              <w:t>(14,753)</w:t>
            </w:r>
          </w:p>
        </w:tc>
      </w:tr>
      <w:tr>
        <w:trPr>
          <w:trHeight w:val="25"/>
        </w:trPr>
        <w:tc>
          <w:tcPr>
            <w:tcW w:w="520" w:type="dxa"/>
            <w:vAlign w:val="bottom"/>
            <w:tcBorders>
              <w:top w:val="single" w:sz="8" w:color="auto"/>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-702310</wp:posOffset>
            </wp:positionV>
            <wp:extent cx="682371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23710" cy="13716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-436880</wp:posOffset>
            </wp:positionV>
            <wp:extent cx="682371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3710" cy="13716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-162560</wp:posOffset>
            </wp:positionV>
            <wp:extent cx="682371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3710" cy="146050"/>
                    </a:xfrm>
                    <a:prstGeom prst="rect">
                      <a:avLst/>
                    </a:prstGeom>
                    <a:noFill/>
                  </pic:spPr>
                </pic:pic>
              </a:graphicData>
            </a:graphic>
          </wp:anchor>
        </w:drawing>
      </w:r>
    </w:p>
    <w:p>
      <w:pPr>
        <w:spacing w:after="0" w:line="57" w:lineRule="exact"/>
        <w:rPr>
          <w:sz w:val="20"/>
          <w:szCs w:val="20"/>
          <w:color w:val="auto"/>
        </w:rPr>
      </w:pPr>
    </w:p>
    <w:p>
      <w:pPr>
        <w:jc w:val="center"/>
        <w:ind w:right="240"/>
        <w:spacing w:after="0"/>
        <w:rPr>
          <w:sz w:val="20"/>
          <w:szCs w:val="20"/>
          <w:color w:val="auto"/>
        </w:rPr>
      </w:pPr>
      <w:r>
        <w:rPr>
          <w:rFonts w:ascii="Arial" w:cs="Arial" w:eastAsia="Arial" w:hAnsi="Arial"/>
          <w:sz w:val="15"/>
          <w:szCs w:val="15"/>
          <w:b w:val="1"/>
          <w:bCs w:val="1"/>
          <w:color w:val="auto"/>
        </w:rPr>
        <w:t>Three Months</w:t>
      </w:r>
    </w:p>
    <w:p>
      <w:pPr>
        <w:spacing w:after="0" w:line="6" w:lineRule="exact"/>
        <w:rPr>
          <w:sz w:val="20"/>
          <w:szCs w:val="20"/>
          <w:color w:val="auto"/>
        </w:rPr>
      </w:pPr>
    </w:p>
    <w:p>
      <w:pPr>
        <w:jc w:val="center"/>
        <w:ind w:right="240"/>
        <w:spacing w:after="0"/>
        <w:rPr>
          <w:sz w:val="20"/>
          <w:szCs w:val="20"/>
          <w:color w:val="auto"/>
        </w:rPr>
      </w:pPr>
      <w:r>
        <w:rPr>
          <w:rFonts w:ascii="Arial" w:cs="Arial" w:eastAsia="Arial" w:hAnsi="Arial"/>
          <w:sz w:val="15"/>
          <w:szCs w:val="15"/>
          <w:b w:val="1"/>
          <w:bCs w:val="1"/>
          <w:color w:val="auto"/>
        </w:rPr>
        <w:t>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844"/>
              <w:spacing w:after="0"/>
              <w:rPr>
                <w:sz w:val="20"/>
                <w:szCs w:val="20"/>
                <w:color w:val="auto"/>
              </w:rPr>
            </w:pPr>
            <w:r>
              <w:rPr>
                <w:rFonts w:ascii="Arial" w:cs="Arial" w:eastAsia="Arial" w:hAnsi="Arial"/>
                <w:sz w:val="15"/>
                <w:szCs w:val="15"/>
                <w:b w:val="1"/>
                <w:bCs w:val="1"/>
                <w:color w:val="auto"/>
              </w:rPr>
              <w:t>2023</w:t>
            </w: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864"/>
              <w:spacing w:after="0"/>
              <w:rPr>
                <w:sz w:val="20"/>
                <w:szCs w:val="20"/>
                <w:color w:val="auto"/>
              </w:rPr>
            </w:pPr>
            <w:r>
              <w:rPr>
                <w:rFonts w:ascii="Arial" w:cs="Arial" w:eastAsia="Arial" w:hAnsi="Arial"/>
                <w:sz w:val="15"/>
                <w:szCs w:val="15"/>
                <w:b w:val="1"/>
                <w:bCs w:val="1"/>
                <w:color w:val="auto"/>
              </w:rPr>
              <w:t>2022</w:t>
            </w:r>
          </w:p>
        </w:tc>
      </w:tr>
      <w:tr>
        <w:trPr>
          <w:trHeight w:val="190"/>
        </w:trPr>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(40,620)</w:t>
            </w:r>
          </w:p>
        </w:tc>
        <w:tc>
          <w:tcPr>
            <w:tcW w:w="6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84"/>
              <w:spacing w:after="0"/>
              <w:rPr>
                <w:sz w:val="20"/>
                <w:szCs w:val="20"/>
                <w:color w:val="auto"/>
              </w:rPr>
            </w:pPr>
            <w:r>
              <w:rPr>
                <w:rFonts w:ascii="Arial" w:cs="Arial" w:eastAsia="Arial" w:hAnsi="Arial"/>
                <w:sz w:val="15"/>
                <w:szCs w:val="15"/>
                <w:color w:val="auto"/>
              </w:rPr>
              <w:t>(21,717)</w:t>
            </w:r>
          </w:p>
        </w:tc>
      </w:tr>
      <w:tr>
        <w:trPr>
          <w:trHeight w:val="216"/>
        </w:trPr>
        <w:tc>
          <w:tcPr>
            <w:tcW w:w="520" w:type="dxa"/>
            <w:vAlign w:val="bottom"/>
          </w:tcPr>
          <w:p>
            <w:pPr>
              <w:spacing w:after="0"/>
              <w:rPr>
                <w:sz w:val="18"/>
                <w:szCs w:val="18"/>
                <w:color w:val="auto"/>
              </w:rPr>
            </w:pPr>
          </w:p>
        </w:tc>
        <w:tc>
          <w:tcPr>
            <w:tcW w:w="1640" w:type="dxa"/>
            <w:vAlign w:val="bottom"/>
          </w:tcPr>
          <w:p>
            <w:pPr>
              <w:jc w:val="right"/>
              <w:ind w:right="104"/>
              <w:spacing w:after="0"/>
              <w:rPr>
                <w:sz w:val="20"/>
                <w:szCs w:val="20"/>
                <w:color w:val="auto"/>
              </w:rPr>
            </w:pPr>
            <w:r>
              <w:rPr>
                <w:rFonts w:ascii="Arial" w:cs="Arial" w:eastAsia="Arial" w:hAnsi="Arial"/>
                <w:sz w:val="15"/>
                <w:szCs w:val="15"/>
                <w:color w:val="auto"/>
              </w:rPr>
              <w:t>1,897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2,850</w:t>
            </w:r>
          </w:p>
        </w:tc>
      </w:tr>
      <w:tr>
        <w:trPr>
          <w:trHeight w:val="207"/>
        </w:trPr>
        <w:tc>
          <w:tcPr>
            <w:tcW w:w="5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24,675</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25,421</w:t>
            </w:r>
          </w:p>
        </w:tc>
      </w:tr>
      <w:tr>
        <w:trPr>
          <w:trHeight w:val="192"/>
        </w:trPr>
        <w:tc>
          <w:tcPr>
            <w:tcW w:w="520" w:type="dxa"/>
            <w:vAlign w:val="bottom"/>
          </w:tcPr>
          <w:p>
            <w:pPr>
              <w:spacing w:after="0"/>
              <w:rPr>
                <w:sz w:val="16"/>
                <w:szCs w:val="16"/>
                <w:color w:val="auto"/>
              </w:rPr>
            </w:pPr>
          </w:p>
        </w:tc>
        <w:tc>
          <w:tcPr>
            <w:tcW w:w="1640" w:type="dxa"/>
            <w:vAlign w:val="bottom"/>
          </w:tcPr>
          <w:p>
            <w:pPr>
              <w:jc w:val="right"/>
              <w:ind w:right="64"/>
              <w:spacing w:after="0"/>
              <w:rPr>
                <w:sz w:val="20"/>
                <w:szCs w:val="20"/>
                <w:color w:val="auto"/>
              </w:rPr>
            </w:pPr>
            <w:r>
              <w:rPr>
                <w:rFonts w:ascii="Arial" w:cs="Arial" w:eastAsia="Arial" w:hAnsi="Arial"/>
                <w:sz w:val="15"/>
                <w:szCs w:val="15"/>
                <w:color w:val="auto"/>
              </w:rPr>
              <w:t>(14,048)</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6,554</w:t>
            </w:r>
          </w:p>
        </w:tc>
      </w:tr>
      <w:tr>
        <w:trPr>
          <w:trHeight w:val="216"/>
        </w:trPr>
        <w:tc>
          <w:tcPr>
            <w:tcW w:w="520" w:type="dxa"/>
            <w:vAlign w:val="bottom"/>
          </w:tcPr>
          <w:p>
            <w:pPr>
              <w:spacing w:after="0"/>
              <w:rPr>
                <w:sz w:val="18"/>
                <w:szCs w:val="18"/>
                <w:color w:val="auto"/>
              </w:rPr>
            </w:pPr>
          </w:p>
        </w:tc>
        <w:tc>
          <w:tcPr>
            <w:tcW w:w="1640" w:type="dxa"/>
            <w:vAlign w:val="bottom"/>
          </w:tcPr>
          <w:p>
            <w:pPr>
              <w:jc w:val="right"/>
              <w:ind w:right="104"/>
              <w:spacing w:after="0"/>
              <w:rPr>
                <w:sz w:val="20"/>
                <w:szCs w:val="20"/>
                <w:color w:val="auto"/>
              </w:rPr>
            </w:pPr>
            <w:r>
              <w:rPr>
                <w:rFonts w:ascii="Arial" w:cs="Arial" w:eastAsia="Arial" w:hAnsi="Arial"/>
                <w:sz w:val="15"/>
                <w:szCs w:val="15"/>
                <w:color w:val="auto"/>
              </w:rPr>
              <w:t>6,166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4,362</w:t>
            </w:r>
          </w:p>
        </w:tc>
      </w:tr>
      <w:tr>
        <w:trPr>
          <w:trHeight w:val="203"/>
        </w:trPr>
        <w:tc>
          <w:tcPr>
            <w:tcW w:w="520" w:type="dxa"/>
            <w:vAlign w:val="bottom"/>
          </w:tcPr>
          <w:p>
            <w:pPr>
              <w:spacing w:after="0"/>
              <w:rPr>
                <w:sz w:val="17"/>
                <w:szCs w:val="17"/>
                <w:color w:val="auto"/>
              </w:rPr>
            </w:pPr>
          </w:p>
        </w:tc>
        <w:tc>
          <w:tcPr>
            <w:tcW w:w="1640" w:type="dxa"/>
            <w:vAlign w:val="bottom"/>
          </w:tcPr>
          <w:p>
            <w:pPr>
              <w:jc w:val="right"/>
              <w:ind w:right="104"/>
              <w:spacing w:after="0"/>
              <w:rPr>
                <w:sz w:val="20"/>
                <w:szCs w:val="20"/>
                <w:color w:val="auto"/>
              </w:rPr>
            </w:pPr>
            <w:r>
              <w:rPr>
                <w:rFonts w:ascii="Arial" w:cs="Arial" w:eastAsia="Arial" w:hAnsi="Arial"/>
                <w:sz w:val="15"/>
                <w:szCs w:val="15"/>
                <w:color w:val="auto"/>
              </w:rPr>
              <w:t>18,513</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287</w:t>
            </w:r>
          </w:p>
        </w:tc>
      </w:tr>
      <w:tr>
        <w:trPr>
          <w:trHeight w:val="203"/>
        </w:trPr>
        <w:tc>
          <w:tcPr>
            <w:tcW w:w="520" w:type="dxa"/>
            <w:vAlign w:val="bottom"/>
          </w:tcPr>
          <w:p>
            <w:pPr>
              <w:spacing w:after="0"/>
              <w:rPr>
                <w:sz w:val="17"/>
                <w:szCs w:val="17"/>
                <w:color w:val="auto"/>
              </w:rPr>
            </w:pPr>
          </w:p>
        </w:tc>
        <w:tc>
          <w:tcPr>
            <w:tcW w:w="164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2,315</w:t>
            </w: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2"/>
        </w:trPr>
        <w:tc>
          <w:tcPr>
            <w:tcW w:w="520" w:type="dxa"/>
            <w:vAlign w:val="bottom"/>
          </w:tcPr>
          <w:p>
            <w:pPr>
              <w:jc w:val="right"/>
              <w:ind w:right="344"/>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104"/>
              <w:spacing w:after="0"/>
              <w:rPr>
                <w:sz w:val="20"/>
                <w:szCs w:val="20"/>
                <w:color w:val="auto"/>
              </w:rPr>
            </w:pPr>
            <w:r>
              <w:rPr>
                <w:rFonts w:ascii="Arial" w:cs="Arial" w:eastAsia="Arial" w:hAnsi="Arial"/>
                <w:sz w:val="15"/>
                <w:szCs w:val="15"/>
                <w:color w:val="auto"/>
              </w:rPr>
              <w:t>10,631</w:t>
            </w:r>
          </w:p>
        </w:tc>
        <w:tc>
          <w:tcPr>
            <w:tcW w:w="68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13,518</w:t>
            </w:r>
          </w:p>
        </w:tc>
      </w:tr>
      <w:tr>
        <w:trPr>
          <w:trHeight w:val="25"/>
        </w:trPr>
        <w:tc>
          <w:tcPr>
            <w:tcW w:w="520" w:type="dxa"/>
            <w:vAlign w:val="bottom"/>
            <w:tcBorders>
              <w:top w:val="single" w:sz="8" w:color="auto"/>
              <w:bottom w:val="single" w:sz="8" w:color="auto"/>
            </w:tcBorders>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-3967480</wp:posOffset>
            </wp:positionH>
            <wp:positionV relativeFrom="paragraph">
              <wp:posOffset>-1105535</wp:posOffset>
            </wp:positionV>
            <wp:extent cx="682371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3710" cy="13716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-839470</wp:posOffset>
            </wp:positionV>
            <wp:extent cx="682371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3710" cy="13716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-565150</wp:posOffset>
            </wp:positionV>
            <wp:extent cx="682371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23710" cy="128905"/>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-307975</wp:posOffset>
            </wp:positionV>
            <wp:extent cx="682371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720"/>
            <w:col w:w="4740"/>
          </w:cols>
          <w:pgMar w:left="60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10</w:t>
      </w:r>
    </w:p>
    <w:sectPr>
      <w:pgSz w:w="11900" w:h="16838" w:orient="portrait"/>
      <w:cols w:equalWidth="0" w:num="1">
        <w:col w:w="10960"/>
      </w:cols>
      <w:pgMar w:left="600" w:top="1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2023-05-11T05:10:18Z</dcterms:created>
  <dcterms:modified xsi:type="dcterms:W3CDTF">2023-05-11T05:10:18Z</dcterms:modified>
</cp:coreProperties>
</file>