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UNITED STATES</w:t>
      </w:r>
    </w:p>
    <w:p>
      <w:pPr>
        <w:jc w:val="center"/>
        <w:ind w:right="-4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419"/>
        <w:spacing w:after="0" w:line="204" w:lineRule="auto"/>
        <w:rPr>
          <w:sz w:val="20"/>
          <w:szCs w:val="20"/>
          <w:color w:val="auto"/>
        </w:rPr>
      </w:pPr>
      <w:r>
        <w:rPr>
          <w:rFonts w:ascii="Arial" w:cs="Arial" w:eastAsia="Arial" w:hAnsi="Arial"/>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month of February 2023</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4120"/>
        <w:spacing w:after="0"/>
        <w:rPr>
          <w:sz w:val="20"/>
          <w:szCs w:val="20"/>
          <w:color w:val="auto"/>
        </w:rPr>
      </w:pPr>
      <w:r>
        <w:rPr>
          <w:rFonts w:ascii="Arial" w:cs="Arial" w:eastAsia="Arial" w:hAnsi="Arial"/>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11F, Building C,</w:t>
      </w:r>
    </w:p>
    <w:p>
      <w:pPr>
        <w:ind w:left="4260"/>
        <w:spacing w:after="0" w:line="205" w:lineRule="auto"/>
        <w:rPr>
          <w:sz w:val="20"/>
          <w:szCs w:val="20"/>
          <w:color w:val="auto"/>
        </w:rPr>
      </w:pPr>
      <w:r>
        <w:rPr>
          <w:rFonts w:ascii="Arial" w:cs="Arial" w:eastAsia="Arial" w:hAnsi="Arial"/>
          <w:sz w:val="18"/>
          <w:szCs w:val="18"/>
          <w:b w:val="1"/>
          <w:bCs w:val="1"/>
          <w:color w:val="auto"/>
        </w:rPr>
        <w:t>No. 225, Section 2, Chang’an E. Rd.</w:t>
      </w:r>
    </w:p>
    <w:p>
      <w:pPr>
        <w:jc w:val="center"/>
        <w:ind w:right="-479"/>
        <w:spacing w:after="0" w:line="204" w:lineRule="auto"/>
        <w:rPr>
          <w:sz w:val="20"/>
          <w:szCs w:val="20"/>
          <w:color w:val="auto"/>
        </w:rPr>
      </w:pPr>
      <w:r>
        <w:rPr>
          <w:rFonts w:ascii="Arial" w:cs="Arial" w:eastAsia="Arial" w:hAnsi="Arial"/>
          <w:sz w:val="18"/>
          <w:szCs w:val="18"/>
          <w:b w:val="1"/>
          <w:bCs w:val="1"/>
          <w:color w:val="auto"/>
        </w:rPr>
        <w:t>SongShan District, Taipei City 105</w:t>
      </w:r>
    </w:p>
    <w:p>
      <w:pPr>
        <w:jc w:val="center"/>
        <w:ind w:right="-479"/>
        <w:spacing w:after="0" w:line="209" w:lineRule="auto"/>
        <w:rPr>
          <w:sz w:val="20"/>
          <w:szCs w:val="20"/>
          <w:color w:val="auto"/>
        </w:rPr>
      </w:pPr>
      <w:r>
        <w:rPr>
          <w:rFonts w:ascii="Arial" w:cs="Arial" w:eastAsia="Arial" w:hAnsi="Arial"/>
          <w:sz w:val="18"/>
          <w:szCs w:val="18"/>
          <w:b w:val="1"/>
          <w:bCs w:val="1"/>
          <w:color w:val="auto"/>
        </w:rPr>
        <w:t>Taiwan</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338"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Releases Q4 and full year 2022 Business Update</w:t>
      </w:r>
    </w:p>
    <w:p>
      <w:pPr>
        <w:spacing w:after="0" w:line="229"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On February 16, 2023, Gogoro Inc. issued a press release announcing its financial and operating results for the fourth quarter and full year ended December 31, 2022. A copy of the press release is furnished herewith as Exhibit 99.1 to this Report on Form 6-K and is incorporated by reference herein.</w:t>
      </w:r>
    </w:p>
    <w:p>
      <w:pPr>
        <w:sectPr>
          <w:pgSz w:w="11900" w:h="16838" w:orient="portrait"/>
          <w:cols w:equalWidth="0" w:num="1">
            <w:col w:w="11220"/>
          </w:cols>
          <w:pgMar w:left="320" w:top="1440" w:right="359" w:bottom="1440" w:gutter="0" w:footer="0" w:header="0"/>
        </w:sectPr>
      </w:pPr>
    </w:p>
    <w:bookmarkStart w:id="2" w:name="page3"/>
    <w:bookmarkEnd w:id="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EXHIBITS INDEX</w:t>
            </w:r>
          </w:p>
        </w:tc>
      </w:tr>
      <w:tr>
        <w:trPr>
          <w:trHeight w:val="67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485"/>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4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Gogoro Inc., dated February 16, 2023.</w:t>
            </w:r>
          </w:p>
        </w:tc>
        <w:tc>
          <w:tcPr>
            <w:tcW w:w="82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Date: February 16, 2023</w:t>
      </w:r>
      <w:r>
        <w:rPr>
          <w:sz w:val="20"/>
          <w:szCs w:val="20"/>
          <w:color w:val="auto"/>
        </w:rPr>
        <w:tab/>
      </w:r>
      <w:r>
        <w:rPr>
          <w:rFonts w:ascii="Arial" w:cs="Arial" w:eastAsia="Arial" w:hAnsi="Arial"/>
          <w:sz w:val="17"/>
          <w:szCs w:val="17"/>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Bruce Morrison Aitken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320" w:top="1404"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highlight w:val="white"/>
        </w:rPr>
        <w:t>Gogoro Releases Fourth Quarter</w:t>
      </w:r>
    </w:p>
    <w:p>
      <w:pPr>
        <w:jc w:val="center"/>
        <w:spacing w:after="0"/>
        <w:rPr>
          <w:sz w:val="20"/>
          <w:szCs w:val="20"/>
          <w:color w:val="auto"/>
        </w:rPr>
      </w:pPr>
      <w:r>
        <w:rPr>
          <w:rFonts w:ascii="Arial" w:cs="Arial" w:eastAsia="Arial" w:hAnsi="Arial"/>
          <w:sz w:val="27"/>
          <w:szCs w:val="27"/>
          <w:b w:val="1"/>
          <w:bCs w:val="1"/>
          <w:color w:val="auto"/>
        </w:rPr>
        <w:t>and Full Year 2022 Financial Results</w:t>
      </w:r>
    </w:p>
    <w:p>
      <w:pPr>
        <w:spacing w:after="0" w:line="200" w:lineRule="exact"/>
        <w:rPr>
          <w:sz w:val="20"/>
          <w:szCs w:val="20"/>
          <w:color w:val="auto"/>
        </w:rPr>
      </w:pPr>
    </w:p>
    <w:p>
      <w:pPr>
        <w:spacing w:after="0" w:line="247" w:lineRule="exact"/>
        <w:rPr>
          <w:sz w:val="20"/>
          <w:szCs w:val="20"/>
          <w:color w:val="auto"/>
        </w:rPr>
      </w:pPr>
    </w:p>
    <w:p>
      <w:pPr>
        <w:ind w:right="460"/>
        <w:spacing w:after="0" w:line="288" w:lineRule="auto"/>
        <w:rPr>
          <w:sz w:val="20"/>
          <w:szCs w:val="20"/>
          <w:color w:val="auto"/>
        </w:rPr>
      </w:pPr>
      <w:r>
        <w:rPr>
          <w:rFonts w:ascii="Arial" w:cs="Arial" w:eastAsia="Arial" w:hAnsi="Arial"/>
          <w:sz w:val="20"/>
          <w:szCs w:val="20"/>
          <w:b w:val="1"/>
          <w:bCs w:val="1"/>
          <w:color w:val="auto"/>
          <w:highlight w:val="white"/>
        </w:rPr>
        <w:t xml:space="preserve">TAIPEI </w:t>
      </w:r>
      <w:r>
        <w:rPr>
          <w:rFonts w:ascii="Arial" w:cs="Arial" w:eastAsia="Arial" w:hAnsi="Arial"/>
          <w:sz w:val="20"/>
          <w:szCs w:val="20"/>
          <w:color w:val="auto"/>
          <w:highlight w:val="white"/>
        </w:rPr>
        <w:t>–</w:t>
      </w:r>
      <w:r>
        <w:rPr>
          <w:rFonts w:ascii="Arial" w:cs="Arial" w:eastAsia="Arial" w:hAnsi="Arial"/>
          <w:sz w:val="20"/>
          <w:szCs w:val="20"/>
          <w:b w:val="1"/>
          <w:bCs w:val="1"/>
          <w:color w:val="auto"/>
          <w:highlight w:val="white"/>
        </w:rPr>
        <w:t xml:space="preserve"> February 16, 2023 </w:t>
      </w:r>
      <w:r>
        <w:rPr>
          <w:rFonts w:ascii="Arial" w:cs="Arial" w:eastAsia="Arial" w:hAnsi="Arial"/>
          <w:sz w:val="20"/>
          <w:szCs w:val="20"/>
          <w:color w:val="auto"/>
          <w:highlight w:val="white"/>
        </w:rPr>
        <w:t>–</w:t>
      </w:r>
      <w:r>
        <w:rPr>
          <w:rFonts w:ascii="Arial" w:cs="Arial" w:eastAsia="Arial" w:hAnsi="Arial"/>
          <w:sz w:val="20"/>
          <w:szCs w:val="20"/>
          <w:b w:val="1"/>
          <w:bCs w:val="1"/>
          <w:color w:val="auto"/>
          <w:highlight w:val="white"/>
        </w:rPr>
        <w:t xml:space="preserve"> </w:t>
      </w:r>
      <w:r>
        <w:rPr>
          <w:rFonts w:ascii="Arial" w:cs="Arial" w:eastAsia="Arial" w:hAnsi="Arial"/>
          <w:sz w:val="20"/>
          <w:szCs w:val="20"/>
          <w:color w:val="auto"/>
        </w:rPr>
        <w:t>Gogoro Inc. (Nasdaq: GGR), a global technology leader in battery swapping ecosystems that enable</w:t>
      </w:r>
      <w:r>
        <w:rPr>
          <w:rFonts w:ascii="Arial" w:cs="Arial" w:eastAsia="Arial" w:hAnsi="Arial"/>
          <w:sz w:val="20"/>
          <w:szCs w:val="20"/>
          <w:b w:val="1"/>
          <w:bCs w:val="1"/>
          <w:color w:val="auto"/>
          <w:highlight w:val="white"/>
        </w:rPr>
        <w:t xml:space="preserve"> </w:t>
      </w:r>
      <w:r>
        <w:rPr>
          <w:rFonts w:ascii="Arial" w:cs="Arial" w:eastAsia="Arial" w:hAnsi="Arial"/>
          <w:sz w:val="20"/>
          <w:szCs w:val="20"/>
          <w:color w:val="auto"/>
        </w:rPr>
        <w:t>sustainable mobility solutions for cities, today released its financial results for its fourth quarter and twelve months ended December 31, 2022.</w:t>
      </w:r>
    </w:p>
    <w:p>
      <w:pPr>
        <w:spacing w:after="0" w:line="198" w:lineRule="exact"/>
        <w:rPr>
          <w:sz w:val="20"/>
          <w:szCs w:val="20"/>
          <w:color w:val="auto"/>
        </w:rPr>
      </w:pPr>
    </w:p>
    <w:p>
      <w:pPr>
        <w:ind w:left="660" w:right="420" w:hanging="328"/>
        <w:spacing w:after="0" w:line="323" w:lineRule="auto"/>
        <w:tabs>
          <w:tab w:leader="none" w:pos="648"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Fourth quarter revenue of $95.5 million, down 20.8% year-over-year and down 10.5% on a constant currency basis; Full year revenue of $382.8 million, up 4.6% year-over-year and up 11.7% on a constant currency basis</w:t>
      </w:r>
    </w:p>
    <w:p>
      <w:pPr>
        <w:spacing w:after="0" w:line="181" w:lineRule="exact"/>
        <w:rPr>
          <w:rFonts w:ascii="Arial" w:cs="Arial" w:eastAsia="Arial" w:hAnsi="Arial"/>
          <w:sz w:val="19"/>
          <w:szCs w:val="19"/>
          <w:color w:val="auto"/>
        </w:rPr>
      </w:pPr>
    </w:p>
    <w:p>
      <w:pPr>
        <w:ind w:left="660" w:right="160" w:hanging="328"/>
        <w:spacing w:after="0" w:line="354" w:lineRule="auto"/>
        <w:tabs>
          <w:tab w:leader="none" w:pos="64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Fourth quarter network revenue of $31.4 million, up 19.5% year-over-year and up 34.6% on a constant currency basis; Full year network revenue of $121.6 million, up 22.2% year-over-year and up 30.3% on a constant currency basis</w:t>
      </w:r>
    </w:p>
    <w:p>
      <w:pPr>
        <w:spacing w:after="0" w:line="91" w:lineRule="exact"/>
        <w:rPr>
          <w:rFonts w:ascii="Arial" w:cs="Arial" w:eastAsia="Arial" w:hAnsi="Arial"/>
          <w:sz w:val="18"/>
          <w:szCs w:val="18"/>
          <w:b w:val="1"/>
          <w:bCs w:val="1"/>
          <w:color w:val="auto"/>
        </w:rPr>
      </w:pPr>
    </w:p>
    <w:p>
      <w:pPr>
        <w:ind w:left="660" w:right="60" w:hanging="328"/>
        <w:spacing w:after="0" w:line="295"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Fourth quarter net loss of $12.5 million, down from a net loss of $14.2 million in the same quarter last year; Full year net loss of $98.9 million, up from a net loss of $67.4 million last year</w:t>
      </w:r>
    </w:p>
    <w:p>
      <w:pPr>
        <w:spacing w:after="0" w:line="136" w:lineRule="exact"/>
        <w:rPr>
          <w:rFonts w:ascii="Arial" w:cs="Arial" w:eastAsia="Arial" w:hAnsi="Arial"/>
          <w:sz w:val="20"/>
          <w:szCs w:val="20"/>
          <w:b w:val="1"/>
          <w:bCs w:val="1"/>
          <w:color w:val="auto"/>
        </w:rPr>
      </w:pPr>
    </w:p>
    <w:p>
      <w:pPr>
        <w:ind w:left="660" w:right="180" w:hanging="328"/>
        <w:spacing w:after="0" w:line="295"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Fourth quarter adjusted EBITDA of $9.2 million, down from $25.5 million in the same quarter last year; Full year adjusted EBITDA of $41.2 million, down from $54.9 million last year</w:t>
      </w:r>
    </w:p>
    <w:p>
      <w:pPr>
        <w:spacing w:after="0" w:line="143" w:lineRule="exact"/>
        <w:rPr>
          <w:sz w:val="20"/>
          <w:szCs w:val="20"/>
          <w:color w:val="auto"/>
        </w:rPr>
      </w:pPr>
    </w:p>
    <w:p>
      <w:pPr>
        <w:ind w:right="180" w:firstLine="6"/>
        <w:spacing w:after="0" w:line="291" w:lineRule="auto"/>
        <w:rPr>
          <w:sz w:val="20"/>
          <w:szCs w:val="20"/>
          <w:color w:val="auto"/>
        </w:rPr>
      </w:pPr>
      <w:r>
        <w:rPr>
          <w:rFonts w:ascii="Arial" w:cs="Arial" w:eastAsia="Arial" w:hAnsi="Arial"/>
          <w:sz w:val="19"/>
          <w:szCs w:val="19"/>
          <w:color w:val="auto"/>
        </w:rPr>
        <w:t>“We met our updated 2022 full year financial results, despite the macroeconomic climate, and continued to experience strong growth in our Gogoro Network business. We continue to see growing demand for Gogoro's smart sustainable solutions. Last month we announced a significant partnership with the Indian State of Maharashtra, India’s leading economy, and Belrise Industries to deploy and manage battery swapping infrastructure across the state,” said Horace Luke, founder, chairman, and chief executive officer of Gogoro. “The Maharashtra partnership shows the strong global interest in Gogoro and demonstrates our positive momentum. It is the culmination of a variety of significant new market announcements and partnerships we made in 2022 in India with Zypp Electric, in the Philippines with Globe 917Ventures and the Ayala Group, and in Singapore with Jardine Cycle &amp; Carriage. For 2023, we will continue to transition from pilot deployments in India, Indonesia and other markets to early and later stage commercial deployments that we expect to drive greater revenue for our vehicle, battery swapping and technology businesses.”</w:t>
      </w:r>
    </w:p>
    <w:p>
      <w:pPr>
        <w:spacing w:after="0" w:line="208" w:lineRule="exact"/>
        <w:rPr>
          <w:sz w:val="20"/>
          <w:szCs w:val="20"/>
          <w:color w:val="auto"/>
        </w:rPr>
      </w:pPr>
    </w:p>
    <w:p>
      <w:pPr>
        <w:ind w:right="440" w:firstLine="6"/>
        <w:spacing w:after="0" w:line="319" w:lineRule="auto"/>
        <w:rPr>
          <w:sz w:val="20"/>
          <w:szCs w:val="20"/>
          <w:color w:val="auto"/>
        </w:rPr>
      </w:pPr>
      <w:r>
        <w:rPr>
          <w:rFonts w:ascii="Arial" w:cs="Arial" w:eastAsia="Arial" w:hAnsi="Arial"/>
          <w:sz w:val="18"/>
          <w:szCs w:val="18"/>
          <w:color w:val="auto"/>
        </w:rPr>
        <w:t>“In the fourth quarter, we focused on improving our operating efficiency, strengthened our balance sheet and continued investing across multiple expansion markets and business lines. These will continue to be top priorities in 2023 as we continue our growth in Taiwan and international markets,” said Bruce Aitken, chief financial officer of Gogoro. “We met our updated financial guidance. Our current cash position and the liquidity provided by our new credit facilities enable us to continue to invest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Revenues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For the fourth quarter, revenue was $95.5 million, down 20.8% year-over-year and down 10.5% year-over-year on a constant currency basis</w:t>
      </w:r>
      <w:r>
        <w:rPr>
          <w:rFonts w:ascii="Arial" w:cs="Arial" w:eastAsia="Arial" w:hAnsi="Arial"/>
          <w:sz w:val="25"/>
          <w:szCs w:val="25"/>
          <w:color w:val="auto"/>
          <w:vertAlign w:val="superscript"/>
        </w:rPr>
        <w:t>1</w:t>
      </w:r>
      <w:r>
        <w:rPr>
          <w:rFonts w:ascii="Arial" w:cs="Arial" w:eastAsia="Arial" w:hAnsi="Arial"/>
          <w:sz w:val="20"/>
          <w:szCs w:val="20"/>
          <w:color w:val="auto"/>
        </w:rPr>
        <w:t>. Had foreign exchange rates remained constant with the average rate of the same quarter last year, revenue would have been up by an additional $12.4 million.</w:t>
      </w:r>
    </w:p>
    <w:p>
      <w:pPr>
        <w:spacing w:after="0" w:line="232"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Sales of hardware and other revenues for the quarter was $64.1 million, down 32.1% year-over-year, and down 23.1% year-over-year</w:t>
      </w:r>
    </w:p>
    <w:p>
      <w:pPr>
        <w:spacing w:after="0" w:line="86" w:lineRule="exact"/>
        <w:rPr>
          <w:rFonts w:ascii="Arial" w:cs="Arial" w:eastAsia="Arial" w:hAnsi="Arial"/>
          <w:sz w:val="16"/>
          <w:szCs w:val="16"/>
          <w:color w:val="auto"/>
        </w:rPr>
      </w:pPr>
    </w:p>
    <w:p>
      <w:pPr>
        <w:jc w:val="both"/>
        <w:ind w:left="660" w:right="240"/>
        <w:spacing w:after="0" w:line="343" w:lineRule="auto"/>
        <w:rPr>
          <w:rFonts w:ascii="Arial" w:cs="Arial" w:eastAsia="Arial" w:hAnsi="Arial"/>
          <w:sz w:val="16"/>
          <w:szCs w:val="16"/>
          <w:color w:val="auto"/>
        </w:rPr>
      </w:pPr>
      <w:r>
        <w:rPr>
          <w:rFonts w:ascii="Arial" w:cs="Arial" w:eastAsia="Arial" w:hAnsi="Arial"/>
          <w:sz w:val="16"/>
          <w:szCs w:val="16"/>
          <w:color w:val="auto"/>
        </w:rPr>
        <w:t>on a constant currency basis. For the entire two-wheeler market, sales in Taiwan in the fourth quarter were down 25.6% year-over-year and electric scooters sales were down 30.4% compared to the same quarter last year. These declines, both in the broad market</w:t>
      </w:r>
    </w:p>
    <w:p>
      <w:pPr>
        <w:ind w:left="660" w:right="180"/>
        <w:spacing w:after="0" w:line="267" w:lineRule="auto"/>
        <w:rPr>
          <w:rFonts w:ascii="Arial" w:cs="Arial" w:eastAsia="Arial" w:hAnsi="Arial"/>
          <w:sz w:val="16"/>
          <w:szCs w:val="16"/>
          <w:color w:val="auto"/>
        </w:rPr>
      </w:pPr>
      <w:r>
        <w:rPr>
          <w:rFonts w:ascii="Arial" w:cs="Arial" w:eastAsia="Arial" w:hAnsi="Arial"/>
          <w:sz w:val="20"/>
          <w:szCs w:val="20"/>
          <w:color w:val="auto"/>
        </w:rPr>
        <w:t>and Gogoro hardware revenue, were primarily attributable to a larger than normal quantity of two-wheeler sales in the same quarter last year as a result of various government and market incentives.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Gogoro Network revenue for the quarter was $31.4 million, up 19.5% year-over-year, and up 34.6% year-over-year on a constant</w:t>
      </w:r>
    </w:p>
    <w:p>
      <w:pPr>
        <w:spacing w:after="0" w:line="63" w:lineRule="exact"/>
        <w:rPr>
          <w:rFonts w:ascii="Arial" w:cs="Arial" w:eastAsia="Arial" w:hAnsi="Arial"/>
          <w:sz w:val="18"/>
          <w:szCs w:val="18"/>
          <w:color w:val="auto"/>
        </w:rPr>
      </w:pPr>
    </w:p>
    <w:p>
      <w:pPr>
        <w:ind w:left="660" w:right="100"/>
        <w:spacing w:after="0" w:line="278" w:lineRule="auto"/>
        <w:rPr>
          <w:rFonts w:ascii="Arial" w:cs="Arial" w:eastAsia="Arial" w:hAnsi="Arial"/>
          <w:sz w:val="18"/>
          <w:szCs w:val="18"/>
          <w:color w:val="auto"/>
        </w:rPr>
      </w:pPr>
      <w:r>
        <w:rPr>
          <w:rFonts w:ascii="Arial" w:cs="Arial" w:eastAsia="Arial" w:hAnsi="Arial"/>
          <w:sz w:val="20"/>
          <w:szCs w:val="20"/>
          <w:color w:val="auto"/>
        </w:rPr>
        <w:t>currency basis. Total subscribers at the end of the fourth quarter was more than 526,000, up 16.8% from 450,000 subscribers at the end of the same quarter last year. The Gogoro Network revenue increase was primarily due to our increasing subscriber base and the high retention rate of all subscribers.</w:t>
      </w:r>
    </w:p>
    <w:p>
      <w:pPr>
        <w:spacing w:after="0" w:line="227" w:lineRule="exact"/>
        <w:rPr>
          <w:sz w:val="20"/>
          <w:szCs w:val="20"/>
          <w:color w:val="auto"/>
        </w:rPr>
      </w:pPr>
    </w:p>
    <w:p>
      <w:pPr>
        <w:jc w:val="both"/>
        <w:ind w:right="140"/>
        <w:spacing w:after="0" w:line="248" w:lineRule="auto"/>
        <w:rPr>
          <w:sz w:val="20"/>
          <w:szCs w:val="20"/>
          <w:color w:val="auto"/>
        </w:rPr>
      </w:pPr>
      <w:r>
        <w:rPr>
          <w:rFonts w:ascii="Arial" w:cs="Arial" w:eastAsia="Arial" w:hAnsi="Arial"/>
          <w:sz w:val="20"/>
          <w:szCs w:val="20"/>
          <w:color w:val="auto"/>
        </w:rPr>
        <w:t>For the full year 2022, revenue was $382.8 million, up 4.6% year-over-year and up 11.7% year-over-year on a constant currency basis</w:t>
      </w:r>
      <w:r>
        <w:rPr>
          <w:rFonts w:ascii="Arial" w:cs="Arial" w:eastAsia="Arial" w:hAnsi="Arial"/>
          <w:sz w:val="25"/>
          <w:szCs w:val="25"/>
          <w:color w:val="auto"/>
          <w:vertAlign w:val="superscript"/>
        </w:rPr>
        <w:t>1</w:t>
      </w:r>
      <w:r>
        <w:rPr>
          <w:rFonts w:ascii="Arial" w:cs="Arial" w:eastAsia="Arial" w:hAnsi="Arial"/>
          <w:sz w:val="20"/>
          <w:szCs w:val="20"/>
          <w:color w:val="auto"/>
        </w:rPr>
        <w:t>. Had foreign exchange rates remained constant with the average rate in each of the comparable quarters of last year, revenue would have been up by an additional $26.0 million.</w:t>
      </w:r>
    </w:p>
    <w:p>
      <w:pPr>
        <w:spacing w:after="0" w:line="254" w:lineRule="exact"/>
        <w:rPr>
          <w:sz w:val="20"/>
          <w:szCs w:val="20"/>
          <w:color w:val="auto"/>
        </w:rPr>
      </w:pPr>
    </w:p>
    <w:p>
      <w:pPr>
        <w:jc w:val="both"/>
        <w:ind w:left="660" w:right="160" w:hanging="328"/>
        <w:spacing w:after="0" w:line="343" w:lineRule="auto"/>
        <w:tabs>
          <w:tab w:leader="none" w:pos="648" w:val="left"/>
        </w:tabs>
        <w:numPr>
          <w:ilvl w:val="0"/>
          <w:numId w:val="3"/>
        </w:numPr>
        <w:rPr>
          <w:rFonts w:ascii="Arial" w:cs="Arial" w:eastAsia="Arial" w:hAnsi="Arial"/>
          <w:sz w:val="16"/>
          <w:szCs w:val="16"/>
          <w:color w:val="auto"/>
        </w:rPr>
      </w:pPr>
      <w:r>
        <w:rPr>
          <w:rFonts w:ascii="Arial" w:cs="Arial" w:eastAsia="Arial" w:hAnsi="Arial"/>
          <w:sz w:val="16"/>
          <w:szCs w:val="16"/>
          <w:color w:val="auto"/>
        </w:rPr>
        <w:t>Sales of hardware and other revenues for the year was $261.2 million, down 2.0% year-over-year, and up 4.7% year-over-year on a constant currency basis. We saw an increase due to continued growth in Gogoro Network revenue and revenue from selling Gogoro</w:t>
      </w:r>
    </w:p>
    <w:p>
      <w:pPr>
        <w:ind w:left="660" w:right="120"/>
        <w:spacing w:after="0" w:line="271" w:lineRule="auto"/>
        <w:rPr>
          <w:rFonts w:ascii="Arial" w:cs="Arial" w:eastAsia="Arial" w:hAnsi="Arial"/>
          <w:sz w:val="16"/>
          <w:szCs w:val="16"/>
          <w:color w:val="auto"/>
        </w:rPr>
      </w:pPr>
      <w:r>
        <w:rPr>
          <w:rFonts w:ascii="Arial" w:cs="Arial" w:eastAsia="Arial" w:hAnsi="Arial"/>
          <w:sz w:val="20"/>
          <w:szCs w:val="20"/>
          <w:color w:val="auto"/>
        </w:rPr>
        <w:t>branded scooters, component kits to OEMs, batteries, and swapping stations to our overseas business partners; the increase was offset by a still weak Taiwan scooter market associated with uncertainties derived from macroeconomic volatility and the pandemic. Total scooters sales in Taiwan for the full year 2022 were down 9.3% year-over-year while electric scooters sales declined 6.7% compared to 2021.</w:t>
      </w: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Gogoro Network revenue was $121.6 million, up 22.2% year-over-year, and up 30.3% year-over-year on a constant currency basis.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gross margin was 15.0%, down from 21.0% in the same quarter last year; quarterly non-IFRS gross margin</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w:t>
      </w:r>
    </w:p>
    <w:p>
      <w:pPr>
        <w:spacing w:after="0" w:line="2"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17.2%, down from 21.5% in the same quarter last year. The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decrease was driven by the higher production cost per electric scooter as a result of raw material cost increases and decreases in sales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80" w:right="460" w:hanging="107"/>
        <w:spacing w:after="0" w:line="319" w:lineRule="auto"/>
        <w:tabs>
          <w:tab w:leader="none" w:pos="166" w:val="left"/>
        </w:tabs>
        <w:numPr>
          <w:ilvl w:val="0"/>
          <w:numId w:val="4"/>
        </w:numPr>
        <w:rPr>
          <w:rFonts w:ascii="Arial" w:cs="Arial" w:eastAsia="Arial" w:hAnsi="Arial"/>
          <w:sz w:val="9"/>
          <w:szCs w:val="9"/>
          <w:color w:val="auto"/>
        </w:rPr>
      </w:pPr>
      <w:r>
        <w:rPr>
          <w:rFonts w:ascii="Arial" w:cs="Arial" w:eastAsia="Arial" w:hAnsi="Arial"/>
          <w:sz w:val="14"/>
          <w:szCs w:val="14"/>
          <w:color w:val="auto"/>
        </w:rPr>
        <w:t xml:space="preserve">This is a non-IFRS measure, see </w:t>
      </w:r>
      <w:r>
        <w:rPr>
          <w:rFonts w:ascii="Arial" w:cs="Arial" w:eastAsia="Arial" w:hAnsi="Arial"/>
          <w:sz w:val="14"/>
          <w:szCs w:val="14"/>
          <w:b w:val="1"/>
          <w:bCs w:val="1"/>
          <w:color w:val="auto"/>
        </w:rPr>
        <w:t>Use of Non-IFRS Financial Measures</w:t>
      </w:r>
      <w:r>
        <w:rPr>
          <w:rFonts w:ascii="Arial" w:cs="Arial" w:eastAsia="Arial" w:hAnsi="Arial"/>
          <w:sz w:val="14"/>
          <w:szCs w:val="14"/>
          <w:color w:val="auto"/>
        </w:rPr>
        <w:t xml:space="preserve"> for a description of the non-IFRS measures and </w:t>
      </w:r>
      <w:r>
        <w:rPr>
          <w:rFonts w:ascii="Arial" w:cs="Arial" w:eastAsia="Arial" w:hAnsi="Arial"/>
          <w:sz w:val="14"/>
          <w:szCs w:val="14"/>
          <w:b w:val="1"/>
          <w:bCs w:val="1"/>
          <w:color w:val="auto"/>
        </w:rPr>
        <w:t>Reconciliation of IFRS Financial Metrics to Non-IFRS</w:t>
      </w:r>
      <w:r>
        <w:rPr>
          <w:rFonts w:ascii="Arial" w:cs="Arial" w:eastAsia="Arial" w:hAnsi="Arial"/>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180"/>
        <w:spacing w:after="0" w:line="235" w:lineRule="auto"/>
        <w:rPr>
          <w:sz w:val="20"/>
          <w:szCs w:val="20"/>
          <w:color w:val="auto"/>
        </w:rPr>
      </w:pPr>
      <w:r>
        <w:rPr>
          <w:rFonts w:ascii="Arial" w:cs="Arial" w:eastAsia="Arial" w:hAnsi="Arial"/>
          <w:sz w:val="20"/>
          <w:szCs w:val="20"/>
          <w:color w:val="auto"/>
        </w:rPr>
        <w:t>For the full year 2022, gross margin was 15.1%, down from 16.7% last year; the full year non-IFRS gross margin</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16.8%, compared to 16.9% last year.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181" w:lineRule="exact"/>
        <w:rPr>
          <w:sz w:val="20"/>
          <w:szCs w:val="20"/>
          <w:color w:val="auto"/>
        </w:rPr>
      </w:pPr>
    </w:p>
    <w:p>
      <w:pPr>
        <w:ind w:right="140"/>
        <w:spacing w:after="0" w:line="285" w:lineRule="auto"/>
        <w:rPr>
          <w:sz w:val="20"/>
          <w:szCs w:val="20"/>
          <w:color w:val="auto"/>
        </w:rPr>
      </w:pPr>
      <w:r>
        <w:rPr>
          <w:rFonts w:ascii="Arial" w:cs="Arial" w:eastAsia="Arial" w:hAnsi="Arial"/>
          <w:sz w:val="20"/>
          <w:szCs w:val="20"/>
          <w:color w:val="auto"/>
        </w:rPr>
        <w:t>For the fourth quarter, net loss was $12.5 million, down $1.7 million from $14.2 million in the same quarter last year. The decrease was primarily due to a favorable change in the fair value of financial liabilities of $18.4 offset by a total of $17.2 million from both a decrease in gross profit and an increase in share-based compensation.</w:t>
      </w:r>
    </w:p>
    <w:p>
      <w:pPr>
        <w:spacing w:after="0" w:line="220" w:lineRule="exact"/>
        <w:rPr>
          <w:sz w:val="20"/>
          <w:szCs w:val="20"/>
          <w:color w:val="auto"/>
        </w:rPr>
      </w:pPr>
    </w:p>
    <w:p>
      <w:pPr>
        <w:ind w:right="180"/>
        <w:spacing w:after="0" w:line="297" w:lineRule="auto"/>
        <w:rPr>
          <w:sz w:val="20"/>
          <w:szCs w:val="20"/>
          <w:color w:val="auto"/>
        </w:rPr>
      </w:pPr>
      <w:r>
        <w:rPr>
          <w:rFonts w:ascii="Arial" w:cs="Arial" w:eastAsia="Arial" w:hAnsi="Arial"/>
          <w:sz w:val="18"/>
          <w:szCs w:val="18"/>
          <w:color w:val="auto"/>
        </w:rPr>
        <w:t>For the full year 2022, net loss was $98.9 million, up $31.5 million from $67.4 million last year. The increase was primarily due to a $32.9 million increase in share-based compensation offset by an approximate $3.0 million net decrease with mix of increases in listing expenses, spending associated with being a public company, exist activities, and R&amp;D expenses, and a favorable change in the fair value of financial liabilities; the full year non-IFRS net loss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$63.3 million, up $12.9 million from $50.4 million last year. The increase was primarily due to $6.9 million in expenditures associated with being a public company and a $4.1 million increase in R&amp;D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For the fourth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$9.2 million, down from $25.5 million in the same quarter last year. The decrease was primarily due to a $9.5 million decrease in non-IFRS gross profit, $2.6 million in expenditures associated with being a public company, and a $1.4 million increase in R&amp;D spending , as well as a negative foreign exchange impact.</w:t>
      </w:r>
    </w:p>
    <w:p>
      <w:pPr>
        <w:spacing w:after="0" w:line="238" w:lineRule="exact"/>
        <w:rPr>
          <w:sz w:val="20"/>
          <w:szCs w:val="20"/>
          <w:color w:val="auto"/>
        </w:rPr>
      </w:pPr>
    </w:p>
    <w:p>
      <w:pPr>
        <w:ind w:right="440"/>
        <w:spacing w:after="0" w:line="268" w:lineRule="auto"/>
        <w:rPr>
          <w:sz w:val="20"/>
          <w:szCs w:val="20"/>
          <w:color w:val="auto"/>
        </w:rPr>
      </w:pPr>
      <w:r>
        <w:rPr>
          <w:rFonts w:ascii="Arial" w:cs="Arial" w:eastAsia="Arial" w:hAnsi="Arial"/>
          <w:sz w:val="19"/>
          <w:szCs w:val="19"/>
          <w:color w:val="auto"/>
        </w:rPr>
        <w:t>For the full year 2022, adjusted EBITDA</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was $41.2 million, down from $54.9 million last year. The decrease was primarily due to $6.9 million in expenditures associated with being a public company and an investment of $4.1 million in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49" w:lineRule="exact"/>
        <w:rPr>
          <w:sz w:val="20"/>
          <w:szCs w:val="20"/>
          <w:color w:val="auto"/>
        </w:rPr>
      </w:pPr>
    </w:p>
    <w:p>
      <w:pPr>
        <w:ind w:left="20" w:right="100"/>
        <w:spacing w:after="0" w:line="421" w:lineRule="auto"/>
        <w:rPr>
          <w:sz w:val="20"/>
          <w:szCs w:val="20"/>
          <w:color w:val="auto"/>
        </w:rPr>
      </w:pPr>
      <w:r>
        <w:rPr>
          <w:rFonts w:ascii="Arial" w:cs="Arial" w:eastAsia="Arial" w:hAnsi="Arial"/>
          <w:sz w:val="16"/>
          <w:szCs w:val="16"/>
          <w:color w:val="auto"/>
        </w:rPr>
        <w:t>We successfully amended and extended an existing $200 million credit facility for additional three years to December 2025. With $236.1 million cash balance at the end of 2022 and the available credit facilities, we are well positioned on our short- and longer-term capital needs.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Guidance</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For the full year 2023, we expect:</w:t>
      </w:r>
    </w:p>
    <w:p>
      <w:pPr>
        <w:spacing w:after="0" w:line="21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9"/>
          <w:szCs w:val="19"/>
          <w:b w:val="1"/>
          <w:bCs w:val="1"/>
          <w:color w:val="auto"/>
        </w:rPr>
      </w:pPr>
      <w:r>
        <w:rPr>
          <w:rFonts w:ascii="Arial" w:cs="Arial" w:eastAsia="Arial" w:hAnsi="Arial"/>
          <w:sz w:val="19"/>
          <w:szCs w:val="19"/>
          <w:color w:val="auto"/>
        </w:rPr>
        <w:t>Revenue of $400.0 million to $450.0 million which represents an anticipated increase of 4.5% to 17.6% compared to 2022.</w:t>
      </w:r>
    </w:p>
    <w:p>
      <w:pPr>
        <w:spacing w:after="0" w:line="227" w:lineRule="exact"/>
        <w:rPr>
          <w:rFonts w:ascii="Arial" w:cs="Arial" w:eastAsia="Arial" w:hAnsi="Arial"/>
          <w:sz w:val="19"/>
          <w:szCs w:val="19"/>
          <w:b w:val="1"/>
          <w:bCs w:val="1"/>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estimate that we will generate 90% to 95% of 2023 full year revenue from the Taiwan market.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Conference Call Information</w:t>
      </w:r>
    </w:p>
    <w:p>
      <w:pPr>
        <w:spacing w:after="0" w:line="16"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Gogoro's management team will hold an earnings Webcast on February 16</w:t>
      </w:r>
      <w:r>
        <w:rPr>
          <w:rFonts w:ascii="Arial" w:cs="Arial" w:eastAsia="Arial" w:hAnsi="Arial"/>
          <w:sz w:val="25"/>
          <w:szCs w:val="25"/>
          <w:color w:val="auto"/>
          <w:vertAlign w:val="superscript"/>
        </w:rPr>
        <w:t>th</w:t>
      </w:r>
      <w:r>
        <w:rPr>
          <w:rFonts w:ascii="Arial" w:cs="Arial" w:eastAsia="Arial" w:hAnsi="Arial"/>
          <w:sz w:val="20"/>
          <w:szCs w:val="20"/>
          <w:color w:val="auto"/>
        </w:rPr>
        <w:t>, 2023, at 7:00 a.m. Eastern Time to discuss the Company's fourth quarter and full year for 2022 results of operations and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Investors may access the webcast, supplemental financial information and investor presentation at Gogoro’s investor relations website</w:t>
      </w:r>
    </w:p>
    <w:p>
      <w:pPr>
        <w:spacing w:after="0" w:line="50" w:lineRule="exact"/>
        <w:rPr>
          <w:sz w:val="20"/>
          <w:szCs w:val="20"/>
          <w:color w:val="auto"/>
        </w:rPr>
      </w:pPr>
    </w:p>
    <w:p>
      <w:pPr>
        <w:ind w:right="240"/>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0E32E1"/>
        </w:rPr>
        <w:t>https://investor.gogoro.com</w:t>
      </w:r>
      <w:r>
        <w:rPr>
          <w:rFonts w:ascii="Arial" w:cs="Arial" w:eastAsia="Arial" w:hAnsi="Arial"/>
          <w:sz w:val="20"/>
          <w:szCs w:val="20"/>
          <w:color w:val="auto"/>
        </w:rPr>
        <w:t>) under the “Events” section. A replay of the investor presentation and the earnings call script will be available 24 hours after the conclusion of the webcast and archived for one year.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Gogoro</w:t>
      </w:r>
    </w:p>
    <w:p>
      <w:pPr>
        <w:spacing w:after="0" w:line="249"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color w:val="auto"/>
          <w:highlight w:val="white"/>
        </w:rPr>
        <w:t xml:space="preserve">Founded in 2011 to rethink urban energy and inspire the world to move through cities in smarter and more sustainable ways, Gogoro leverages the power of innovation to change the way urban energy is distributed and consumed.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Arial" w:cs="Arial" w:eastAsia="Arial" w:hAnsi="Arial"/>
          <w:sz w:val="18"/>
          <w:szCs w:val="18"/>
          <w:color w:val="0E32E1"/>
          <w:highlight w:val="white"/>
        </w:rPr>
        <w:t>https://www.gogoro.com/news</w:t>
      </w:r>
      <w:r>
        <w:rPr>
          <w:rFonts w:ascii="Arial" w:cs="Arial" w:eastAsia="Arial" w:hAnsi="Arial"/>
          <w:sz w:val="18"/>
          <w:szCs w:val="18"/>
          <w:color w:val="auto"/>
          <w:highlight w:val="white"/>
        </w:rPr>
        <w:t xml:space="preserve"> and follow Gogoro on Twitter: </w:t>
      </w:r>
      <w:r>
        <w:rPr>
          <w:rFonts w:ascii="Arial" w:cs="Arial" w:eastAsia="Arial" w:hAnsi="Arial"/>
          <w:sz w:val="18"/>
          <w:szCs w:val="18"/>
          <w:i w:val="1"/>
          <w:iCs w:val="1"/>
          <w:color w:val="0E32E1"/>
          <w:highlight w:val="white"/>
        </w:rPr>
        <w:t>@wearegogoro</w:t>
      </w:r>
      <w:r>
        <w:rPr>
          <w:rFonts w:ascii="Arial" w:cs="Arial" w:eastAsia="Arial" w:hAnsi="Arial"/>
          <w:sz w:val="18"/>
          <w:szCs w:val="18"/>
          <w:color w:val="auto"/>
          <w:highlight w:val="white"/>
        </w:rPr>
        <w: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235" w:lineRule="exact"/>
        <w:rPr>
          <w:sz w:val="20"/>
          <w:szCs w:val="20"/>
          <w:color w:val="auto"/>
        </w:rPr>
      </w:pPr>
    </w:p>
    <w:p>
      <w:pPr>
        <w:ind w:right="120"/>
        <w:spacing w:after="0" w:line="307" w:lineRule="auto"/>
        <w:rPr>
          <w:sz w:val="20"/>
          <w:szCs w:val="20"/>
          <w:color w:val="auto"/>
        </w:rPr>
      </w:pPr>
      <w:r>
        <w:rPr>
          <w:rFonts w:ascii="Arial" w:cs="Arial" w:eastAsia="Arial" w:hAnsi="Arial"/>
          <w:sz w:val="18"/>
          <w:szCs w:val="18"/>
          <w:color w:val="auto"/>
          <w:highlight w:val="white"/>
        </w:rPr>
        <w:t xml:space="preserve">This communication contains forward looking statements within the meaning of Section 27A of the Securities Act of 1933, as amended, and Section 21E of the Securities Exchange Act of 1934, as amended. Forward looking statements generally relate to future events or Gogoro's future financial or operating performance. In some cases, you can identify forward 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w:t>
      </w:r>
      <w:r>
        <w:rPr>
          <w:rFonts w:ascii="Arial" w:cs="Arial" w:eastAsia="Arial" w:hAnsi="Arial"/>
          <w:sz w:val="18"/>
          <w:szCs w:val="18"/>
          <w:color w:val="auto"/>
        </w:rPr>
        <w:t xml:space="preserve">statements in the section entitled, "2023 Guidance," such as estimates regarding revenue and Gogoro's revenue generated from the Taiwan market, statements regarding the sufficiency of Gogoro's cash resources, </w:t>
      </w:r>
      <w:r>
        <w:rPr>
          <w:rFonts w:ascii="Arial" w:cs="Arial" w:eastAsia="Arial" w:hAnsi="Arial"/>
          <w:sz w:val="18"/>
          <w:szCs w:val="18"/>
          <w:color w:val="auto"/>
          <w:highlight w:val="white"/>
        </w:rPr>
        <w:t>Gogoro’s beliefs regarding Gogoro’s future operating performance</w:t>
      </w:r>
      <w:r>
        <w:rPr>
          <w:rFonts w:ascii="Arial" w:cs="Arial" w:eastAsia="Arial" w:hAnsi="Arial"/>
          <w:sz w:val="18"/>
          <w:szCs w:val="18"/>
          <w:color w:val="auto"/>
        </w:rPr>
        <w:t xml:space="preserve"> </w:t>
      </w:r>
      <w:r>
        <w:rPr>
          <w:rFonts w:ascii="Arial" w:cs="Arial" w:eastAsia="Arial" w:hAnsi="Arial"/>
          <w:sz w:val="18"/>
          <w:szCs w:val="18"/>
          <w:color w:val="auto"/>
          <w:highlight w:val="white"/>
        </w:rPr>
        <w:t>including its ability to grow its subscriber base, projections of market opportunity and market share, potential growth of Gogoro's battery swapping ecosystem in Taiwan and in new markets, timing of Gogoro's launch in India, the capability of Gogoro’s technology</w:t>
      </w:r>
      <w:r>
        <w:rPr>
          <w:rFonts w:ascii="Arial" w:cs="Arial" w:eastAsia="Arial" w:hAnsi="Arial"/>
          <w:sz w:val="18"/>
          <w:szCs w:val="18"/>
          <w:color w:val="auto"/>
        </w:rPr>
        <w:t>, Gogoro’s</w:t>
      </w:r>
      <w:r>
        <w:rPr>
          <w:rFonts w:ascii="Arial" w:cs="Arial" w:eastAsia="Arial" w:hAnsi="Arial"/>
          <w:sz w:val="18"/>
          <w:szCs w:val="18"/>
          <w:color w:val="auto"/>
          <w:highlight w:val="white"/>
        </w:rPr>
        <w:t xml:space="preserve"> </w:t>
      </w:r>
      <w:r>
        <w:rPr>
          <w:rFonts w:ascii="Arial" w:cs="Arial" w:eastAsia="Arial" w:hAnsi="Arial"/>
          <w:sz w:val="18"/>
          <w:szCs w:val="18"/>
          <w:color w:val="auto"/>
        </w:rPr>
        <w:t>business plans including its plans to grow and expand in Taiwan and internationally, the expected use of proceeds from the merger, and statements by Gogoro's founder, chairman, and chief executive officer and Gogoro's chief financial officer.</w:t>
      </w:r>
    </w:p>
    <w:p>
      <w:pPr>
        <w:spacing w:after="0" w:line="211"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PRC, regulatory risks and Gogoro’s risks related to strategic collaborations, risks related to the Taiwan market, China market, India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2021, which was filed on May 2, 2022 and in its subsequent filings with the SEC, copies of which are available on our website and on the SEC's website at www.sec.gov. The forward looking statements in this communication are based on information available to Gogoro as of the date hereof, and Gogoro disclaims any obligation to update any forward looking statements, except as required by law.</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289" w:lineRule="exact"/>
        <w:rPr>
          <w:sz w:val="20"/>
          <w:szCs w:val="20"/>
          <w:color w:val="auto"/>
        </w:rPr>
      </w:pPr>
    </w:p>
    <w:p>
      <w:pPr>
        <w:jc w:val="both"/>
        <w:ind w:right="240"/>
        <w:spacing w:after="0" w:line="278" w:lineRule="auto"/>
        <w:rPr>
          <w:sz w:val="20"/>
          <w:szCs w:val="20"/>
          <w:color w:val="auto"/>
        </w:rPr>
      </w:pPr>
      <w:r>
        <w:rPr>
          <w:rFonts w:ascii="Arial" w:cs="Arial" w:eastAsia="Arial" w:hAnsi="Arial"/>
          <w:sz w:val="20"/>
          <w:szCs w:val="20"/>
          <w:color w:val="auto"/>
        </w:rPr>
        <w:t>This press release and accompanying tables contain certain non-International Financial Reporting Standards as issued by the International Accounting Standards Board (collectively, “IFRS”) financial measures including foreign exchange effect on operating revenues, non-IFRS gross profit, non-IFRS gross margin, Non-IFRS Net Loss, EBITDA and Adjusted EBITDA.</w:t>
      </w:r>
    </w:p>
    <w:p>
      <w:pPr>
        <w:spacing w:after="0" w:line="221" w:lineRule="exact"/>
        <w:rPr>
          <w:sz w:val="20"/>
          <w:szCs w:val="20"/>
          <w:color w:val="auto"/>
        </w:rPr>
      </w:pPr>
    </w:p>
    <w:p>
      <w:pPr>
        <w:ind w:right="220"/>
        <w:spacing w:after="0" w:line="278" w:lineRule="auto"/>
        <w:rPr>
          <w:sz w:val="20"/>
          <w:szCs w:val="20"/>
          <w:color w:val="auto"/>
        </w:rPr>
      </w:pPr>
      <w:r>
        <w:rPr>
          <w:rFonts w:ascii="Arial" w:cs="Arial" w:eastAsia="Arial" w:hAnsi="Arial"/>
          <w:sz w:val="20"/>
          <w:szCs w:val="20"/>
          <w:b w:val="1"/>
          <w:bCs w:val="1"/>
          <w:color w:val="auto"/>
        </w:rPr>
        <w:t xml:space="preserve">Foreign exchange ("FX") effect on operating revenues. </w:t>
      </w:r>
      <w:r>
        <w:rPr>
          <w:rFonts w:ascii="Arial" w:cs="Arial" w:eastAsia="Arial" w:hAnsi="Arial"/>
          <w:sz w:val="20"/>
          <w:szCs w:val="20"/>
          <w:color w:val="auto"/>
        </w:rPr>
        <w:t>We compare the dollar amount and the percent change in the operating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from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21" w:lineRule="exact"/>
        <w:rPr>
          <w:sz w:val="20"/>
          <w:szCs w:val="20"/>
          <w:color w:val="auto"/>
        </w:rPr>
      </w:pPr>
    </w:p>
    <w:p>
      <w:pPr>
        <w:ind w:right="580"/>
        <w:spacing w:after="0" w:line="295" w:lineRule="auto"/>
        <w:rPr>
          <w:sz w:val="20"/>
          <w:szCs w:val="20"/>
          <w:color w:val="auto"/>
        </w:rPr>
      </w:pPr>
      <w:r>
        <w:rPr>
          <w:rFonts w:ascii="Arial" w:cs="Arial" w:eastAsia="Arial" w:hAnsi="Arial"/>
          <w:sz w:val="20"/>
          <w:szCs w:val="20"/>
          <w:b w:val="1"/>
          <w:bCs w:val="1"/>
          <w:color w:val="auto"/>
        </w:rPr>
        <w:t xml:space="preserve">Non-IFRS Gross Profit and Gross Margin. </w:t>
      </w:r>
      <w:r>
        <w:rPr>
          <w:rFonts w:ascii="Arial" w:cs="Arial" w:eastAsia="Arial" w:hAnsi="Arial"/>
          <w:sz w:val="20"/>
          <w:szCs w:val="20"/>
          <w:color w:val="auto"/>
        </w:rPr>
        <w:t>Gogoro defines non-IFRS gross profit and gross margin as gross profit and 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share-based compensation and exit activities.</w:t>
      </w:r>
    </w:p>
    <w:p>
      <w:pPr>
        <w:spacing w:after="0" w:line="191" w:lineRule="exact"/>
        <w:rPr>
          <w:sz w:val="20"/>
          <w:szCs w:val="20"/>
          <w:color w:val="auto"/>
        </w:rPr>
      </w:pPr>
    </w:p>
    <w:p>
      <w:pPr>
        <w:spacing w:after="0" w:line="305" w:lineRule="auto"/>
        <w:rPr>
          <w:sz w:val="20"/>
          <w:szCs w:val="20"/>
          <w:color w:val="auto"/>
        </w:rPr>
      </w:pPr>
      <w:r>
        <w:rPr>
          <w:rFonts w:ascii="Arial" w:cs="Arial" w:eastAsia="Arial" w:hAnsi="Arial"/>
          <w:sz w:val="19"/>
          <w:szCs w:val="19"/>
          <w:b w:val="1"/>
          <w:bCs w:val="1"/>
          <w:color w:val="auto"/>
        </w:rPr>
        <w:t xml:space="preserve">Share-based Compensation </w:t>
      </w:r>
      <w:r>
        <w:rPr>
          <w:rFonts w:ascii="Arial" w:cs="Arial" w:eastAsia="Arial" w:hAnsi="Arial"/>
          <w:sz w:val="19"/>
          <w:szCs w:val="19"/>
          <w:color w:val="auto"/>
        </w:rPr>
        <w:t>consists of non-cash charges related to the fair value of restricted stock units awarded to employees. We believe</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31"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b w:val="1"/>
          <w:bCs w:val="1"/>
          <w:color w:val="auto"/>
        </w:rPr>
        <w:t xml:space="preserve">Non-IFRS Net Loss. </w:t>
      </w:r>
      <w:r>
        <w:rPr>
          <w:rFonts w:ascii="Arial" w:cs="Arial" w:eastAsia="Arial" w:hAnsi="Arial"/>
          <w:sz w:val="20"/>
          <w:szCs w:val="20"/>
          <w:color w:val="auto"/>
        </w:rPr>
        <w:t>Gogoro defines non-IFRS net loss as net income (loss) excluding share-based compensation, the change in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liabilities including revaluation of redeemable preferred shares, change in fair value of earnout, earn-in and warrants associated with the merger of Poema, listing expense and onetime non-recurring costs associated with the merger. These amounts do not reflect the impact of any related tax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700"/>
        <w:spacing w:after="0" w:line="295" w:lineRule="auto"/>
        <w:rPr>
          <w:sz w:val="20"/>
          <w:szCs w:val="20"/>
          <w:color w:val="auto"/>
        </w:rPr>
      </w:pPr>
      <w:r>
        <w:rPr>
          <w:rFonts w:ascii="Arial" w:cs="Arial" w:eastAsia="Arial" w:hAnsi="Arial"/>
          <w:sz w:val="20"/>
          <w:szCs w:val="20"/>
          <w:b w:val="1"/>
          <w:bCs w:val="1"/>
          <w:color w:val="auto"/>
        </w:rPr>
        <w:t xml:space="preserve">EBITDA. </w:t>
      </w:r>
      <w:r>
        <w:rPr>
          <w:rFonts w:ascii="Arial" w:cs="Arial" w:eastAsia="Arial" w:hAnsi="Arial"/>
          <w:sz w:val="20"/>
          <w:szCs w:val="20"/>
          <w:color w:val="auto"/>
        </w:rPr>
        <w:t>Gogoro defines EBITDA, as net income (loss) excluding interest expense, net, provision for income tax,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These amounts do not reflect the impact of any related tax effects.</w:t>
      </w:r>
    </w:p>
    <w:p>
      <w:pPr>
        <w:spacing w:after="0" w:line="204"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Gogoro defines Adjusted EBITDA, as EBITDA excluding share-based compensation, the change in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liabilities including revaluation of redeemable preferred shares, change in fair value of earnout, earn-in and warrants associated with the merger of Poema, listing expense and onetime non-recurring costs associated with the merger. These amounts do not reflect the impact of any related tax effects.</w:t>
      </w:r>
    </w:p>
    <w:p>
      <w:pPr>
        <w:spacing w:after="0" w:line="205"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b w:val="1"/>
          <w:bCs w:val="1"/>
          <w:color w:val="auto"/>
        </w:rPr>
        <w:t>Acquisition-related Expenses</w:t>
      </w:r>
      <w:r>
        <w:rPr>
          <w:rFonts w:ascii="Arial" w:cs="Arial" w:eastAsia="Arial" w:hAnsi="Arial"/>
          <w:sz w:val="19"/>
          <w:szCs w:val="19"/>
          <w:color w:val="auto"/>
        </w:rPr>
        <w:t>. Gogoro incurs acquisition-related and other expenses which consist of costs incurred after the issuance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 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212"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Listing Expense. </w:t>
      </w:r>
      <w:r>
        <w:rPr>
          <w:rFonts w:ascii="Arial" w:cs="Arial" w:eastAsia="Arial" w:hAnsi="Arial"/>
          <w:sz w:val="20"/>
          <w:szCs w:val="20"/>
          <w:color w:val="auto"/>
        </w:rPr>
        <w:t>In connection with the merger with Poema, the excess fair value of shares issued by Gogoro in exchanged for the net assets</w:t>
      </w:r>
      <w:r>
        <w:rPr>
          <w:rFonts w:ascii="Arial" w:cs="Arial" w:eastAsia="Arial" w:hAnsi="Arial"/>
          <w:sz w:val="20"/>
          <w:szCs w:val="20"/>
          <w:b w:val="1"/>
          <w:bCs w:val="1"/>
          <w:color w:val="auto"/>
        </w:rPr>
        <w:t xml:space="preserve"> </w:t>
      </w:r>
      <w:r>
        <w:rPr>
          <w:rFonts w:ascii="Arial" w:cs="Arial" w:eastAsia="Arial" w:hAnsi="Arial"/>
          <w:sz w:val="20"/>
          <w:szCs w:val="20"/>
          <w:color w:val="auto"/>
        </w:rPr>
        <w:t>of Poema was recorded as listing expense in operating expense. The listing expense for the merger is not recurring with respect to past transactions, can be inconsistent in amount and frequency from period to period and are significantly impacted by the timing and magnitude of the merger.</w:t>
      </w:r>
    </w:p>
    <w:p>
      <w:pPr>
        <w:spacing w:after="0" w:line="205" w:lineRule="exact"/>
        <w:rPr>
          <w:sz w:val="20"/>
          <w:szCs w:val="20"/>
          <w:color w:val="auto"/>
        </w:rPr>
      </w:pPr>
    </w:p>
    <w:p>
      <w:pPr>
        <w:ind w:right="80"/>
        <w:spacing w:after="0" w:line="281" w:lineRule="auto"/>
        <w:rPr>
          <w:sz w:val="20"/>
          <w:szCs w:val="20"/>
          <w:color w:val="auto"/>
        </w:rPr>
      </w:pPr>
      <w:r>
        <w:rPr>
          <w:rFonts w:ascii="Arial" w:cs="Arial" w:eastAsia="Arial" w:hAnsi="Arial"/>
          <w:sz w:val="20"/>
          <w:szCs w:val="20"/>
          <w:b w:val="1"/>
          <w:bCs w:val="1"/>
          <w:color w:val="auto"/>
        </w:rPr>
        <w:t xml:space="preserve">Exit Activities. </w:t>
      </w:r>
      <w:r>
        <w:rPr>
          <w:rFonts w:ascii="Arial" w:cs="Arial" w:eastAsia="Arial" w:hAnsi="Arial"/>
          <w:sz w:val="20"/>
          <w:szCs w:val="20"/>
          <w:color w:val="auto"/>
        </w:rPr>
        <w:t>We have incurred charges in connection with the exit of certain product lines, severance associated with organizational</w:t>
      </w:r>
      <w:r>
        <w:rPr>
          <w:rFonts w:ascii="Arial" w:cs="Arial" w:eastAsia="Arial" w:hAnsi="Arial"/>
          <w:sz w:val="20"/>
          <w:szCs w:val="20"/>
          <w:b w:val="1"/>
          <w:bCs w:val="1"/>
          <w:color w:val="auto"/>
        </w:rPr>
        <w:t xml:space="preserve"> </w:t>
      </w:r>
      <w:r>
        <w:rPr>
          <w:rFonts w:ascii="Arial" w:cs="Arial" w:eastAsia="Arial" w:hAnsi="Arial"/>
          <w:sz w:val="20"/>
          <w:szCs w:val="20"/>
          <w:color w:val="auto"/>
        </w:rPr>
        <w:t>changes as well as other non-recurring activities. These charges are not representative of ongoing costs to the business and are not expected to recur. As a result, these charges are being excluded to provide investors with a more comparable measure of costs associated with ongoing operations.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9"/>
          <w:szCs w:val="19"/>
          <w:color w:val="auto"/>
        </w:rPr>
        <w:t>These non-IFRS financial measures exclude share-based compensation, interest expense, income tax, depreciation and amortization, change in fair value of financial liabilities including revaluation of redeemable preferred shares, change in fair value of earnout, earn-in and warrants associated with the merger of Poema, listing expense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20"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color w:val="auto"/>
        </w:rPr>
        <w:t>Non-IFRS financial measures are not meant to be considered in isolation or as a substitute for the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85" w:lineRule="auto"/>
        <w:rPr>
          <w:sz w:val="20"/>
          <w:szCs w:val="20"/>
          <w:color w:val="auto"/>
        </w:rPr>
      </w:pPr>
      <w:r>
        <w:rPr>
          <w:rFonts w:ascii="Arial" w:cs="Arial" w:eastAsia="Arial" w:hAnsi="Arial"/>
          <w:sz w:val="20"/>
          <w:szCs w:val="20"/>
          <w:color w:val="auto"/>
        </w:rPr>
        <w:t>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4"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Gogoro Investor Contact:</w:t>
      </w:r>
    </w:p>
    <w:p>
      <w:pPr>
        <w:spacing w:after="0" w:line="145"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Bowen, ICR, LLC.</w:t>
      </w:r>
    </w:p>
    <w:p>
      <w:pPr>
        <w:spacing w:after="0" w:line="104"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gogoroIR@icrinc.com</w:t>
      </w:r>
    </w:p>
    <w:p>
      <w:pPr>
        <w:spacing w:after="0" w:line="117"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jason.gordon@gogoro.com</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8"/>
          <w:szCs w:val="18"/>
          <w:color w:val="auto"/>
        </w:rPr>
        <w:t>ir@gogoro.com</w:t>
      </w:r>
    </w:p>
    <w:p>
      <w:pPr>
        <w:spacing w:after="0" w:line="200"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04" w:right="3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Balance Sheet</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236,100</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217,429</w:t>
            </w:r>
          </w:p>
        </w:tc>
      </w:tr>
      <w:tr>
        <w:trPr>
          <w:trHeight w:val="229"/>
        </w:trPr>
        <w:tc>
          <w:tcPr>
            <w:tcW w:w="716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16,143</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16,625</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114,701</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73,137</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10,157</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 current</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17,452</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397,905</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358,030</w:t>
            </w:r>
          </w:p>
        </w:tc>
      </w:tr>
      <w:tr>
        <w:trPr>
          <w:trHeight w:val="250"/>
        </w:trPr>
        <w:tc>
          <w:tcPr>
            <w:tcW w:w="7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442,969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453,383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non-current</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873,423</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current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87,982</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238,434</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Financial liabilities at fair value</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46,949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107,862</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and trade payables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12,965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18,753</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Provisions for product warranty, current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2,395</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6,480</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 current</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247,050</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480,543</w:t>
            </w:r>
          </w:p>
        </w:tc>
      </w:tr>
      <w:tr>
        <w:trPr>
          <w:trHeight w:val="250"/>
        </w:trPr>
        <w:tc>
          <w:tcPr>
            <w:tcW w:w="7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Loans, non-current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293,192</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195,883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product warranty, non-current</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10,099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15,589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2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574,449</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720,687</w:t>
            </w:r>
          </w:p>
        </w:tc>
      </w:tr>
      <w:tr>
        <w:trPr>
          <w:trHeight w:val="250"/>
        </w:trPr>
        <w:tc>
          <w:tcPr>
            <w:tcW w:w="7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298,974</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123,713</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873,423</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80" w:top="1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(in thousands of U.S. dollars, except net income (loss) per share)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Three Months</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Twelve Months</w:t>
            </w:r>
          </w:p>
        </w:tc>
        <w:tc>
          <w:tcPr>
            <w:tcW w:w="1040" w:type="dxa"/>
            <w:vAlign w:val="bottom"/>
          </w:tcPr>
          <w:p>
            <w:pPr>
              <w:spacing w:after="0"/>
              <w:rPr>
                <w:sz w:val="16"/>
                <w:szCs w:val="16"/>
                <w:color w:val="auto"/>
              </w:rPr>
            </w:pPr>
          </w:p>
        </w:tc>
      </w:t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Ended December 31,</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Ended December 31,</w:t>
            </w:r>
          </w:p>
        </w:tc>
      </w:tr>
      <w:tr>
        <w:trPr>
          <w:trHeight w:val="209"/>
        </w:trPr>
        <w:tc>
          <w:tcPr>
            <w:tcW w:w="4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95,466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120,593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382,826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366,009</w:t>
            </w:r>
          </w:p>
        </w:tc>
      </w:tr>
      <w:tr>
        <w:trPr>
          <w:trHeight w:val="21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81,136</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95,328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325,113</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304,921</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14,330</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25,265</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57,713</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61,088</w:t>
            </w:r>
          </w:p>
        </w:tc>
      </w:tr>
      <w:tr>
        <w:trPr>
          <w:trHeight w:val="193"/>
        </w:trPr>
        <w:tc>
          <w:tcPr>
            <w:tcW w:w="4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and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53,855</w:t>
            </w: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14,678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70,972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33,951</w:t>
            </w: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12,369</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45,993</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30,600</w:t>
            </w: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Listing expense</w:t>
            </w:r>
          </w:p>
        </w:tc>
        <w:tc>
          <w:tcPr>
            <w:tcW w:w="3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178,804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36,647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356,042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118,406</w:t>
            </w:r>
          </w:p>
        </w:tc>
      </w:tr>
      <w:tr>
        <w:trPr>
          <w:trHeight w:val="20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(27,532)</w:t>
            </w:r>
          </w:p>
        </w:tc>
        <w:tc>
          <w:tcPr>
            <w:tcW w:w="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(11,382)</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(298,329)</w:t>
            </w:r>
          </w:p>
        </w:tc>
        <w:tc>
          <w:tcPr>
            <w:tcW w:w="2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(57,318)</w:t>
            </w:r>
          </w:p>
        </w:tc>
      </w:tr>
      <w:tr>
        <w:trPr>
          <w:trHeight w:val="19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 and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(2,789)</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(9,729)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(10,463)</w:t>
            </w: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7,884</w:t>
            </w: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16,378</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205,938</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(7,465)</w:t>
            </w:r>
          </w:p>
        </w:tc>
      </w:tr>
      <w:tr>
        <w:trPr>
          <w:trHeight w:val="212"/>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non-operating income (expenses)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15,002</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199,423</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(10,044)</w:t>
            </w: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(12,530)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(14,159)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(98,906)</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(67,362)</w:t>
            </w: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4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(12,532)</w:t>
            </w: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(14,159)</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(98,908)</w:t>
            </w: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(67,362)</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Exchange differences on translation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w:t>
            </w: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(12,990)</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(115,088)</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(64,357)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w w:val="98"/>
              </w:rPr>
              <w:t>Shares used in computing basic and diluted net loss per share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231,948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193,334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222,000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193,334</w:t>
            </w:r>
          </w:p>
        </w:tc>
      </w:tr>
      <w:tr>
        <w:trPr>
          <w:trHeight w:val="317"/>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Three Months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Twelve Months</w:t>
            </w:r>
          </w:p>
        </w:tc>
        <w:tc>
          <w:tcPr>
            <w:tcW w:w="1040" w:type="dxa"/>
            <w:vAlign w:val="bottom"/>
          </w:tcPr>
          <w:p>
            <w:pPr>
              <w:spacing w:after="0"/>
              <w:rPr>
                <w:sz w:val="24"/>
                <w:szCs w:val="24"/>
                <w:color w:val="auto"/>
              </w:rPr>
            </w:pPr>
          </w:p>
        </w:tc>
      </w:tr>
      <w:tr>
        <w:trPr>
          <w:trHeight w:val="210"/>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Ended December 31,</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Ended December 31,</w:t>
            </w: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revenues: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Sales of hardware and others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261,166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266,422</w:t>
            </w: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Gogoro Network</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31,431</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121,660</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99,587</w:t>
            </w:r>
          </w:p>
        </w:tc>
      </w:tr>
      <w:tr>
        <w:trPr>
          <w:trHeight w:val="23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Operating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95,466</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120,593</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382,826</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366,009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4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Three Months</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8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Twelve Months</w:t>
            </w:r>
          </w:p>
        </w:tc>
        <w:tc>
          <w:tcPr>
            <w:tcW w:w="1040" w:type="dxa"/>
            <w:vAlign w:val="bottom"/>
          </w:tcPr>
          <w:p>
            <w:pPr>
              <w:spacing w:after="0"/>
              <w:rPr>
                <w:sz w:val="22"/>
                <w:szCs w:val="22"/>
                <w:color w:val="auto"/>
              </w:rPr>
            </w:pPr>
          </w:p>
        </w:tc>
      </w:tr>
      <w:tr>
        <w:trPr>
          <w:trHeight w:val="210"/>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Ended December 31,</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Ended December 31,</w:t>
            </w: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Share-based compensation: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2"/>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13"/>
        </w:trPr>
        <w:tc>
          <w:tcPr>
            <w:tcW w:w="4400" w:type="dxa"/>
            <w:vAlign w:val="bottom"/>
          </w:tcPr>
          <w:p>
            <w:pPr>
              <w:ind w:left="120"/>
              <w:spacing w:after="0"/>
              <w:rPr>
                <w:sz w:val="20"/>
                <w:szCs w:val="20"/>
                <w:color w:val="auto"/>
              </w:rPr>
            </w:pPr>
            <w:r>
              <w:rPr>
                <w:rFonts w:ascii="Arial" w:cs="Arial" w:eastAsia="Arial" w:hAnsi="Arial"/>
                <w:sz w:val="16"/>
                <w:szCs w:val="16"/>
                <w:color w:val="auto"/>
              </w:rPr>
              <w:t>Selling and marketing</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5,800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219"/>
        </w:trPr>
        <w:tc>
          <w:tcPr>
            <w:tcW w:w="4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r>
      <w:tr>
        <w:trPr>
          <w:trHeight w:val="213"/>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Research and development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12,734</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r>
      <w:tr>
        <w:trPr>
          <w:trHeight w:val="23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37,907</w:t>
            </w:r>
          </w:p>
        </w:tc>
        <w:tc>
          <w:tcPr>
            <w:tcW w:w="2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400" w:top="10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of U.S. dollars)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40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Twelve Months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500" w:type="dxa"/>
            <w:vAlign w:val="bottom"/>
          </w:tcPr>
          <w:p>
            <w:pPr>
              <w:jc w:val="right"/>
              <w:ind w:right="13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(98,908)</w:t>
            </w:r>
          </w:p>
        </w:tc>
        <w:tc>
          <w:tcPr>
            <w:tcW w:w="220" w:type="dxa"/>
            <w:vAlign w:val="bottom"/>
          </w:tcPr>
          <w:p>
            <w:pPr>
              <w:spacing w:after="0"/>
              <w:rPr>
                <w:sz w:val="18"/>
                <w:szCs w:val="18"/>
                <w:color w:val="auto"/>
              </w:rPr>
            </w:pPr>
          </w:p>
        </w:tc>
        <w:tc>
          <w:tcPr>
            <w:tcW w:w="1500" w:type="dxa"/>
            <w:vAlign w:val="bottom"/>
          </w:tcPr>
          <w:p>
            <w:pPr>
              <w:jc w:val="right"/>
              <w:ind w:right="13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(67,362)</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94,807</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94,819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credit loss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Change in fair value of financial liabilities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(205,938)</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7,465</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37,907</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and impairment of property and equipment,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Write-down and reversal inventories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3,045</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listing expense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178,804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Provision for income tax</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Trade receivables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Prepayments and other assets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(5,128)</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(7,246)</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and trade payables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23,388</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Contract liabilities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(5,788)</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5,213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Provisions for product warranty</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(7,580)</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operations</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90,994</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and tax paid, net</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(9,588)</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(10,200)</w:t>
            </w:r>
          </w:p>
        </w:tc>
      </w:tr>
      <w:tr>
        <w:trPr>
          <w:trHeight w:val="213"/>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provided by operating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(64,790)</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80,794</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(124,664)</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in refundable deposits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intangible assets, net</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 time deposits and others</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22,319</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84,136</w:t>
            </w:r>
          </w:p>
        </w:tc>
      </w:tr>
      <w:tr>
        <w:trPr>
          <w:trHeight w:val="213"/>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investing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(101,102)</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(41,518)</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loans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173,372</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123,729</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Repayments of loans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(193,241)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(42,630)</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capital increase</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326,965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Repayments of financial liabilities at fair value</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(108,149)</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(7,000)</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Receipts (refund) of guarantee deposits received</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Repayment of the principal portion of lease liabilities</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(12,886)</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(12,232)</w:t>
            </w:r>
          </w:p>
        </w:tc>
      </w:tr>
      <w:tr>
        <w:trPr>
          <w:trHeight w:val="213"/>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186,396</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61,764</w:t>
            </w: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w:t>
            </w:r>
          </w:p>
        </w:tc>
        <w:tc>
          <w:tcPr>
            <w:tcW w:w="2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18,671</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98,387</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217,429</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119,042</w:t>
            </w: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236,100</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GOGORO INC.</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80" w:type="dxa"/>
            <w:vAlign w:val="bottom"/>
            <w:gridSpan w:val="17"/>
          </w:tcPr>
          <w:p>
            <w:pPr>
              <w:jc w:val="center"/>
              <w:ind w:right="244"/>
              <w:spacing w:after="0"/>
              <w:rPr>
                <w:sz w:val="20"/>
                <w:szCs w:val="20"/>
                <w:color w:val="auto"/>
              </w:rPr>
            </w:pPr>
            <w:r>
              <w:rPr>
                <w:rFonts w:ascii="Arial" w:cs="Arial" w:eastAsia="Arial" w:hAnsi="Arial"/>
                <w:sz w:val="16"/>
                <w:szCs w:val="16"/>
                <w:b w:val="1"/>
                <w:bCs w:val="1"/>
                <w:color w:val="auto"/>
                <w:w w:val="93"/>
              </w:rPr>
              <w:t>Reconciliation of IFRS Financial Metrics to Non-IFRS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6"/>
                <w:szCs w:val="16"/>
                <w:i w:val="1"/>
                <w:iCs w:val="1"/>
                <w:color w:val="auto"/>
                <w:w w:val="93"/>
              </w:rPr>
              <w:t>(unaudited)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0" w:type="dxa"/>
            <w:vAlign w:val="bottom"/>
            <w:gridSpan w:val="10"/>
          </w:tcPr>
          <w:p>
            <w:pPr>
              <w:jc w:val="center"/>
              <w:ind w:right="80"/>
              <w:spacing w:after="0"/>
              <w:rPr>
                <w:sz w:val="20"/>
                <w:szCs w:val="20"/>
                <w:color w:val="auto"/>
              </w:rPr>
            </w:pPr>
            <w:r>
              <w:rPr>
                <w:rFonts w:ascii="Arial" w:cs="Arial" w:eastAsia="Arial" w:hAnsi="Arial"/>
                <w:sz w:val="16"/>
                <w:szCs w:val="16"/>
                <w:i w:val="1"/>
                <w:iCs w:val="1"/>
                <w:color w:val="auto"/>
                <w:w w:val="93"/>
              </w:rPr>
              <w:t>(in thousands of U.S. dollars)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11"/>
          </w:tcPr>
          <w:p>
            <w:pPr>
              <w:jc w:val="right"/>
              <w:ind w:right="300"/>
              <w:spacing w:after="0"/>
              <w:rPr>
                <w:sz w:val="20"/>
                <w:szCs w:val="20"/>
                <w:color w:val="auto"/>
              </w:rPr>
            </w:pPr>
            <w:r>
              <w:rPr>
                <w:rFonts w:ascii="Arial" w:cs="Arial" w:eastAsia="Arial" w:hAnsi="Arial"/>
                <w:sz w:val="15"/>
                <w:szCs w:val="15"/>
                <w:b w:val="1"/>
                <w:bCs w:val="1"/>
                <w:color w:val="auto"/>
                <w:w w:val="94"/>
              </w:rPr>
              <w:t>Three Months Ended December 31,</w:t>
            </w:r>
          </w:p>
        </w:tc>
        <w:tc>
          <w:tcPr>
            <w:tcW w:w="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64"/>
              <w:spacing w:after="0"/>
              <w:rPr>
                <w:sz w:val="20"/>
                <w:szCs w:val="20"/>
                <w:color w:val="auto"/>
              </w:rPr>
            </w:pPr>
            <w:r>
              <w:rPr>
                <w:rFonts w:ascii="Arial" w:cs="Arial" w:eastAsia="Arial" w:hAnsi="Arial"/>
                <w:sz w:val="15"/>
                <w:szCs w:val="15"/>
                <w:b w:val="1"/>
                <w:bCs w:val="1"/>
                <w:color w:val="auto"/>
                <w:w w:val="89"/>
              </w:rPr>
              <w:t>2022</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5"/>
                <w:szCs w:val="15"/>
                <w:b w:val="1"/>
                <w:bCs w:val="1"/>
                <w:color w:val="auto"/>
                <w:w w:val="89"/>
              </w:rPr>
              <w:t>2021</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restart"/>
          </w:tcPr>
          <w:p>
            <w:pPr>
              <w:jc w:val="center"/>
              <w:ind w:right="80"/>
              <w:spacing w:after="0"/>
              <w:rPr>
                <w:sz w:val="20"/>
                <w:szCs w:val="20"/>
                <w:color w:val="auto"/>
              </w:rPr>
            </w:pPr>
            <w:r>
              <w:rPr>
                <w:rFonts w:ascii="Arial" w:cs="Arial" w:eastAsia="Arial" w:hAnsi="Arial"/>
                <w:sz w:val="15"/>
                <w:szCs w:val="15"/>
                <w:b w:val="1"/>
                <w:bCs w:val="1"/>
                <w:color w:val="auto"/>
                <w:w w:val="89"/>
              </w:rPr>
              <w:t>Revenue excluding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vMerge w:val="restart"/>
          </w:tcPr>
          <w:p>
            <w:pPr>
              <w:jc w:val="center"/>
              <w:ind w:right="100"/>
              <w:spacing w:after="0"/>
              <w:rPr>
                <w:sz w:val="20"/>
                <w:szCs w:val="20"/>
                <w:color w:val="auto"/>
              </w:rPr>
            </w:pPr>
            <w:r>
              <w:rPr>
                <w:rFonts w:ascii="Arial" w:cs="Arial" w:eastAsia="Arial" w:hAnsi="Arial"/>
                <w:sz w:val="15"/>
                <w:szCs w:val="15"/>
                <w:b w:val="1"/>
                <w:bCs w:val="1"/>
                <w:color w:val="auto"/>
                <w:w w:val="94"/>
              </w:rPr>
              <w:t>IFRS revenue YoY</w:t>
            </w:r>
          </w:p>
        </w:tc>
        <w:tc>
          <w:tcPr>
            <w:tcW w:w="1480" w:type="dxa"/>
            <w:vAlign w:val="bottom"/>
            <w:gridSpan w:val="3"/>
          </w:tcPr>
          <w:p>
            <w:pPr>
              <w:jc w:val="center"/>
              <w:spacing w:after="0" w:line="146" w:lineRule="exact"/>
              <w:rPr>
                <w:sz w:val="20"/>
                <w:szCs w:val="20"/>
                <w:color w:val="auto"/>
              </w:rPr>
            </w:pPr>
            <w:r>
              <w:rPr>
                <w:rFonts w:ascii="Arial" w:cs="Arial" w:eastAsia="Arial" w:hAnsi="Arial"/>
                <w:sz w:val="15"/>
                <w:szCs w:val="15"/>
                <w:b w:val="1"/>
                <w:bCs w:val="1"/>
                <w:color w:val="auto"/>
                <w:w w:val="89"/>
              </w:rPr>
              <w:t>Revenue excluding</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5"/>
                <w:szCs w:val="15"/>
                <w:b w:val="1"/>
                <w:bCs w:val="1"/>
                <w:color w:val="auto"/>
                <w:w w:val="92"/>
              </w:rPr>
              <w:t>FX effect YoY change</w:t>
            </w:r>
          </w:p>
        </w:tc>
        <w:tc>
          <w:tcPr>
            <w:tcW w:w="0" w:type="dxa"/>
            <w:vAlign w:val="bottom"/>
          </w:tcPr>
          <w:p>
            <w:pPr>
              <w:spacing w:after="0"/>
              <w:rPr>
                <w:sz w:val="1"/>
                <w:szCs w:val="1"/>
                <w:color w:val="auto"/>
              </w:rPr>
            </w:pPr>
          </w:p>
        </w:tc>
      </w:tr>
      <w:tr>
        <w:trPr>
          <w:trHeight w:val="212"/>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revenues:</w:t>
            </w:r>
          </w:p>
        </w:tc>
        <w:tc>
          <w:tcPr>
            <w:tcW w:w="132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5"/>
                <w:szCs w:val="15"/>
                <w:b w:val="1"/>
                <w:bCs w:val="1"/>
                <w:color w:val="auto"/>
              </w:rPr>
              <w:t>IFRS revenue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5"/>
                <w:szCs w:val="15"/>
                <w:b w:val="1"/>
                <w:bCs w:val="1"/>
                <w:color w:val="auto"/>
                <w:w w:val="91"/>
              </w:rPr>
              <w:t>FX effect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5"/>
                <w:szCs w:val="15"/>
                <w:b w:val="1"/>
                <w:bCs w:val="1"/>
                <w:color w:val="auto"/>
                <w:w w:val="94"/>
              </w:rPr>
              <w:t>FX effect</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5"/>
                <w:szCs w:val="15"/>
                <w:b w:val="1"/>
                <w:bCs w:val="1"/>
                <w:color w:val="auto"/>
                <w:w w:val="93"/>
              </w:rPr>
              <w:t>IFRS revenue</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1"/>
              </w:rPr>
              <w:t>change %</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 of hardware and others</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64,035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8,494</w:t>
            </w:r>
          </w:p>
        </w:tc>
        <w:tc>
          <w:tcPr>
            <w:tcW w:w="400" w:type="dxa"/>
            <w:vAlign w:val="bottom"/>
            <w:gridSpan w:val="3"/>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72,529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94,299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Gogoro network</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31,431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3,958</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35,389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color w:val="auto"/>
              </w:rPr>
              <w:t>26,294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19.5 %</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34.6 %</w:t>
            </w:r>
          </w:p>
        </w:tc>
        <w:tc>
          <w:tcPr>
            <w:tcW w:w="0" w:type="dxa"/>
            <w:vAlign w:val="bottom"/>
          </w:tcPr>
          <w:p>
            <w:pPr>
              <w:spacing w:after="0"/>
              <w:rPr>
                <w:sz w:val="1"/>
                <w:szCs w:val="1"/>
                <w:color w:val="auto"/>
              </w:rPr>
            </w:pPr>
          </w:p>
        </w:tc>
      </w:tr>
      <w:tr>
        <w:trPr>
          <w:trHeight w:val="220"/>
        </w:trPr>
        <w:tc>
          <w:tcPr>
            <w:tcW w:w="2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Operating revenue</w:t>
            </w:r>
          </w:p>
        </w:tc>
        <w:tc>
          <w:tcPr>
            <w:tcW w:w="660" w:type="dxa"/>
            <w:vAlign w:val="bottom"/>
            <w:tcBorders>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95,466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7"/>
              </w:rPr>
              <w:t>12,452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95"/>
              </w:rPr>
              <w:t>$</w:t>
            </w: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107,918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120,593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1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11"/>
          </w:tcPr>
          <w:p>
            <w:pPr>
              <w:jc w:val="right"/>
              <w:ind w:right="260"/>
              <w:spacing w:after="0"/>
              <w:rPr>
                <w:sz w:val="20"/>
                <w:szCs w:val="20"/>
                <w:color w:val="auto"/>
              </w:rPr>
            </w:pPr>
            <w:r>
              <w:rPr>
                <w:rFonts w:ascii="Arial" w:cs="Arial" w:eastAsia="Arial" w:hAnsi="Arial"/>
                <w:sz w:val="15"/>
                <w:szCs w:val="15"/>
                <w:b w:val="1"/>
                <w:bCs w:val="1"/>
                <w:color w:val="auto"/>
                <w:w w:val="92"/>
              </w:rPr>
              <w:t>Twelve Months Ended December 31,</w:t>
            </w:r>
          </w:p>
        </w:tc>
        <w:tc>
          <w:tcPr>
            <w:tcW w:w="6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left="264"/>
              <w:spacing w:after="0"/>
              <w:rPr>
                <w:sz w:val="20"/>
                <w:szCs w:val="20"/>
                <w:color w:val="auto"/>
              </w:rPr>
            </w:pPr>
            <w:r>
              <w:rPr>
                <w:rFonts w:ascii="Arial" w:cs="Arial" w:eastAsia="Arial" w:hAnsi="Arial"/>
                <w:sz w:val="15"/>
                <w:szCs w:val="15"/>
                <w:b w:val="1"/>
                <w:bCs w:val="1"/>
                <w:color w:val="auto"/>
                <w:w w:val="89"/>
              </w:rPr>
              <w:t>2022</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5"/>
                <w:szCs w:val="15"/>
                <w:b w:val="1"/>
                <w:bCs w:val="1"/>
                <w:color w:val="auto"/>
                <w:w w:val="89"/>
              </w:rPr>
              <w:t>2021</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6"/>
            <w:vMerge w:val="restart"/>
          </w:tcPr>
          <w:p>
            <w:pPr>
              <w:jc w:val="center"/>
              <w:ind w:right="80"/>
              <w:spacing w:after="0"/>
              <w:rPr>
                <w:sz w:val="20"/>
                <w:szCs w:val="20"/>
                <w:color w:val="auto"/>
              </w:rPr>
            </w:pPr>
            <w:r>
              <w:rPr>
                <w:rFonts w:ascii="Arial" w:cs="Arial" w:eastAsia="Arial" w:hAnsi="Arial"/>
                <w:sz w:val="15"/>
                <w:szCs w:val="15"/>
                <w:b w:val="1"/>
                <w:bCs w:val="1"/>
                <w:color w:val="auto"/>
                <w:w w:val="89"/>
              </w:rPr>
              <w:t>Revenue excluding</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5"/>
            <w:vMerge w:val="restart"/>
          </w:tcPr>
          <w:p>
            <w:pPr>
              <w:jc w:val="center"/>
              <w:ind w:right="100"/>
              <w:spacing w:after="0"/>
              <w:rPr>
                <w:sz w:val="20"/>
                <w:szCs w:val="20"/>
                <w:color w:val="auto"/>
              </w:rPr>
            </w:pPr>
            <w:r>
              <w:rPr>
                <w:rFonts w:ascii="Arial" w:cs="Arial" w:eastAsia="Arial" w:hAnsi="Arial"/>
                <w:sz w:val="15"/>
                <w:szCs w:val="15"/>
                <w:b w:val="1"/>
                <w:bCs w:val="1"/>
                <w:color w:val="auto"/>
                <w:w w:val="94"/>
              </w:rPr>
              <w:t>IFRS revenue YoY</w:t>
            </w:r>
          </w:p>
        </w:tc>
        <w:tc>
          <w:tcPr>
            <w:tcW w:w="1480" w:type="dxa"/>
            <w:vAlign w:val="bottom"/>
            <w:gridSpan w:val="3"/>
          </w:tcPr>
          <w:p>
            <w:pPr>
              <w:jc w:val="center"/>
              <w:spacing w:after="0" w:line="160" w:lineRule="exact"/>
              <w:rPr>
                <w:sz w:val="20"/>
                <w:szCs w:val="20"/>
                <w:color w:val="auto"/>
              </w:rPr>
            </w:pPr>
            <w:r>
              <w:rPr>
                <w:rFonts w:ascii="Arial" w:cs="Arial" w:eastAsia="Arial" w:hAnsi="Arial"/>
                <w:sz w:val="15"/>
                <w:szCs w:val="15"/>
                <w:b w:val="1"/>
                <w:bCs w:val="1"/>
                <w:color w:val="auto"/>
                <w:w w:val="89"/>
              </w:rPr>
              <w:t>Revenue excluding</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5"/>
                <w:szCs w:val="15"/>
                <w:b w:val="1"/>
                <w:bCs w:val="1"/>
                <w:color w:val="auto"/>
                <w:w w:val="92"/>
              </w:rPr>
              <w:t>FX effect YoY change</w:t>
            </w:r>
          </w:p>
        </w:tc>
        <w:tc>
          <w:tcPr>
            <w:tcW w:w="0" w:type="dxa"/>
            <w:vAlign w:val="bottom"/>
          </w:tcPr>
          <w:p>
            <w:pPr>
              <w:spacing w:after="0"/>
              <w:rPr>
                <w:sz w:val="1"/>
                <w:szCs w:val="1"/>
                <w:color w:val="auto"/>
              </w:rPr>
            </w:pPr>
          </w:p>
        </w:tc>
      </w:tr>
      <w:tr>
        <w:trPr>
          <w:trHeight w:val="212"/>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revenues:</w:t>
            </w:r>
          </w:p>
        </w:tc>
        <w:tc>
          <w:tcPr>
            <w:tcW w:w="132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5"/>
                <w:szCs w:val="15"/>
                <w:b w:val="1"/>
                <w:bCs w:val="1"/>
                <w:color w:val="auto"/>
              </w:rPr>
              <w:t>IFRS revenue</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5"/>
                <w:szCs w:val="15"/>
                <w:b w:val="1"/>
                <w:bCs w:val="1"/>
                <w:color w:val="auto"/>
                <w:w w:val="91"/>
              </w:rPr>
              <w:t>FX effect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5"/>
                <w:szCs w:val="15"/>
                <w:b w:val="1"/>
                <w:bCs w:val="1"/>
                <w:color w:val="auto"/>
                <w:w w:val="94"/>
              </w:rPr>
              <w:t>FX effect</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jc w:val="center"/>
              <w:ind w:left="104"/>
              <w:spacing w:after="0"/>
              <w:rPr>
                <w:sz w:val="20"/>
                <w:szCs w:val="20"/>
                <w:color w:val="auto"/>
              </w:rPr>
            </w:pPr>
            <w:r>
              <w:rPr>
                <w:rFonts w:ascii="Arial" w:cs="Arial" w:eastAsia="Arial" w:hAnsi="Arial"/>
                <w:sz w:val="15"/>
                <w:szCs w:val="15"/>
                <w:b w:val="1"/>
                <w:bCs w:val="1"/>
                <w:color w:val="auto"/>
                <w:w w:val="93"/>
              </w:rPr>
              <w:t>IFRS revenue</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1"/>
              </w:rPr>
              <w:t>change %</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 of hardware and others</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261,166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7"/>
              </w:rPr>
              <w:t>17,836</w:t>
            </w:r>
          </w:p>
        </w:tc>
        <w:tc>
          <w:tcPr>
            <w:tcW w:w="400" w:type="dxa"/>
            <w:vAlign w:val="bottom"/>
            <w:gridSpan w:val="3"/>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279,002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266,422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199"/>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Gogoro network</w:t>
            </w: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121,660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8,141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129,801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color w:val="auto"/>
              </w:rPr>
              <w:t>99,587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22.2 %</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30.3 %</w:t>
            </w:r>
          </w:p>
        </w:tc>
        <w:tc>
          <w:tcPr>
            <w:tcW w:w="0" w:type="dxa"/>
            <w:vAlign w:val="bottom"/>
          </w:tcPr>
          <w:p>
            <w:pPr>
              <w:spacing w:after="0"/>
              <w:rPr>
                <w:sz w:val="1"/>
                <w:szCs w:val="1"/>
                <w:color w:val="auto"/>
              </w:rPr>
            </w:pPr>
          </w:p>
        </w:tc>
      </w:tr>
      <w:tr>
        <w:trPr>
          <w:trHeight w:val="220"/>
        </w:trPr>
        <w:tc>
          <w:tcPr>
            <w:tcW w:w="21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Operating revenue</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382,826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7"/>
              </w:rPr>
              <w:t>25,977</w:t>
            </w:r>
          </w:p>
        </w:tc>
        <w:tc>
          <w:tcPr>
            <w:tcW w:w="400" w:type="dxa"/>
            <w:vAlign w:val="bottom"/>
            <w:gridSpan w:val="3"/>
            <w:shd w:val="clear" w:color="auto" w:fill="CCEEFF"/>
          </w:tcPr>
          <w:p>
            <w:pPr>
              <w:jc w:val="right"/>
              <w:ind w:right="82"/>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408,803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95"/>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366,009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4.6 %</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5"/>
                <w:szCs w:val="15"/>
                <w:b w:val="1"/>
                <w:bCs w:val="1"/>
                <w:color w:val="auto"/>
                <w:w w:val="93"/>
              </w:rPr>
              <w:t>Three Months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w w:val="91"/>
              </w:rPr>
              <w:t>Twelve Months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5"/>
                <w:szCs w:val="15"/>
                <w:b w:val="1"/>
                <w:bCs w:val="1"/>
                <w:color w:val="auto"/>
                <w:w w:val="92"/>
              </w:rPr>
              <w:t>Ended December 31,</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5"/>
                <w:szCs w:val="15"/>
                <w:b w:val="1"/>
                <w:bCs w:val="1"/>
                <w:color w:val="auto"/>
                <w:w w:val="90"/>
              </w:rPr>
              <w:t>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 and gross margin</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14,330</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15.0 %</w:t>
            </w:r>
          </w:p>
        </w:tc>
        <w:tc>
          <w:tcPr>
            <w:tcW w:w="5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57,713</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61,088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16.7 %</w:t>
            </w: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rPr>
                <w:sz w:val="20"/>
                <w:szCs w:val="20"/>
                <w:color w:val="auto"/>
              </w:rPr>
            </w:pPr>
            <w:r>
              <w:rPr>
                <w:rFonts w:ascii="Arial" w:cs="Arial" w:eastAsia="Arial" w:hAnsi="Arial"/>
                <w:sz w:val="15"/>
                <w:szCs w:val="15"/>
                <w:color w:val="auto"/>
              </w:rPr>
              <w:t>Share-based compensation</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5"/>
                <w:szCs w:val="15"/>
                <w:color w:val="auto"/>
              </w:rPr>
              <w:t>4,298</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Exit activities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00" w:type="dxa"/>
            <w:vAlign w:val="bottom"/>
            <w:gridSpan w:val="2"/>
          </w:tcPr>
          <w:p>
            <w:pPr>
              <w:ind w:left="20"/>
              <w:spacing w:after="0"/>
              <w:rPr>
                <w:sz w:val="20"/>
                <w:szCs w:val="20"/>
                <w:color w:val="auto"/>
              </w:rPr>
            </w:pPr>
            <w:r>
              <w:rPr>
                <w:rFonts w:ascii="Arial" w:cs="Arial" w:eastAsia="Arial" w:hAnsi="Arial"/>
                <w:sz w:val="15"/>
                <w:szCs w:val="15"/>
                <w:color w:val="auto"/>
              </w:rPr>
              <w:t>Non-IFRS gross profit and gross margin</w:t>
            </w:r>
          </w:p>
        </w:tc>
        <w:tc>
          <w:tcPr>
            <w:tcW w:w="6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16,389</w:t>
            </w:r>
          </w:p>
        </w:tc>
        <w:tc>
          <w:tcPr>
            <w:tcW w:w="60" w:type="dxa"/>
            <w:vAlign w:val="bottom"/>
            <w:tcBorders>
              <w:bottom w:val="single" w:sz="8" w:color="auto"/>
            </w:tcBorders>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5"/>
                <w:szCs w:val="15"/>
                <w:color w:val="auto"/>
              </w:rPr>
              <w:t>17.2 %</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25,877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21.5 %</w:t>
            </w:r>
          </w:p>
        </w:tc>
        <w:tc>
          <w:tcPr>
            <w:tcW w:w="16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64,354</w:t>
            </w:r>
          </w:p>
        </w:tc>
        <w:tc>
          <w:tcPr>
            <w:tcW w:w="780" w:type="dxa"/>
            <w:vAlign w:val="bottom"/>
          </w:tcPr>
          <w:p>
            <w:pPr>
              <w:jc w:val="right"/>
              <w:spacing w:after="0"/>
              <w:rPr>
                <w:sz w:val="20"/>
                <w:szCs w:val="20"/>
                <w:color w:val="auto"/>
              </w:rPr>
            </w:pPr>
            <w:r>
              <w:rPr>
                <w:rFonts w:ascii="Arial" w:cs="Arial" w:eastAsia="Arial" w:hAnsi="Arial"/>
                <w:sz w:val="15"/>
                <w:szCs w:val="15"/>
                <w:color w:val="auto"/>
              </w:rPr>
              <w:t>16.8 %</w:t>
            </w:r>
          </w:p>
        </w:tc>
        <w:tc>
          <w:tcPr>
            <w:tcW w:w="16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61,700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16.9 %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5"/>
                <w:szCs w:val="15"/>
                <w:b w:val="1"/>
                <w:bCs w:val="1"/>
                <w:color w:val="auto"/>
                <w:w w:val="93"/>
              </w:rPr>
              <w:t>Three Months</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w w:val="91"/>
              </w:rPr>
              <w:t>Twelve Months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5"/>
                <w:szCs w:val="15"/>
                <w:b w:val="1"/>
                <w:bCs w:val="1"/>
                <w:color w:val="auto"/>
                <w:w w:val="92"/>
              </w:rPr>
              <w:t>Ended December 31,</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5"/>
                <w:szCs w:val="15"/>
                <w:b w:val="1"/>
                <w:bCs w:val="1"/>
                <w:color w:val="auto"/>
                <w:w w:val="90"/>
              </w:rPr>
              <w:t>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62"/>
              <w:spacing w:after="0"/>
              <w:rPr>
                <w:sz w:val="20"/>
                <w:szCs w:val="20"/>
                <w:color w:val="auto"/>
              </w:rPr>
            </w:pPr>
            <w:r>
              <w:rPr>
                <w:rFonts w:ascii="Arial" w:cs="Arial" w:eastAsia="Arial" w:hAnsi="Arial"/>
                <w:sz w:val="15"/>
                <w:szCs w:val="15"/>
                <w:color w:val="auto"/>
              </w:rPr>
              <w:t>(12,532)</w:t>
            </w:r>
          </w:p>
        </w:tc>
        <w:tc>
          <w:tcPr>
            <w:tcW w:w="5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(14,159)</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(98,908)</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(67,362)</w:t>
            </w:r>
          </w:p>
        </w:tc>
        <w:tc>
          <w:tcPr>
            <w:tcW w:w="0" w:type="dxa"/>
            <w:vAlign w:val="bottom"/>
          </w:tcPr>
          <w:p>
            <w:pPr>
              <w:spacing w:after="0"/>
              <w:rPr>
                <w:sz w:val="1"/>
                <w:szCs w:val="1"/>
                <w:color w:val="auto"/>
              </w:rPr>
            </w:pPr>
          </w:p>
        </w:tc>
      </w:tr>
      <w:tr>
        <w:trPr>
          <w:trHeight w:val="199"/>
        </w:trPr>
        <w:tc>
          <w:tcPr>
            <w:tcW w:w="2140" w:type="dxa"/>
            <w:vAlign w:val="bottom"/>
          </w:tcPr>
          <w:p>
            <w:pPr>
              <w:ind w:left="120"/>
              <w:spacing w:after="0"/>
              <w:rPr>
                <w:sz w:val="20"/>
                <w:szCs w:val="20"/>
                <w:color w:val="auto"/>
              </w:rPr>
            </w:pPr>
            <w:r>
              <w:rPr>
                <w:rFonts w:ascii="Arial" w:cs="Arial" w:eastAsia="Arial" w:hAnsi="Arial"/>
                <w:sz w:val="15"/>
                <w:szCs w:val="15"/>
                <w:color w:val="auto"/>
              </w:rPr>
              <w:t>Share-based compensation</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5"/>
          </w:tcPr>
          <w:p>
            <w:pPr>
              <w:jc w:val="right"/>
              <w:ind w:right="102"/>
              <w:spacing w:after="0"/>
              <w:rPr>
                <w:sz w:val="20"/>
                <w:szCs w:val="20"/>
                <w:color w:val="auto"/>
              </w:rPr>
            </w:pPr>
            <w:r>
              <w:rPr>
                <w:rFonts w:ascii="Arial" w:cs="Arial" w:eastAsia="Arial" w:hAnsi="Arial"/>
                <w:sz w:val="15"/>
                <w:szCs w:val="15"/>
                <w:color w:val="auto"/>
              </w:rPr>
              <w:t>11,173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5,038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37,907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206"/>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8"/>
              </w:rPr>
              <w:t>Change in fair value of financial liabilities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62"/>
              <w:spacing w:after="0"/>
              <w:rPr>
                <w:sz w:val="20"/>
                <w:szCs w:val="20"/>
                <w:color w:val="auto"/>
              </w:rPr>
            </w:pPr>
            <w:r>
              <w:rPr>
                <w:rFonts w:ascii="Arial" w:cs="Arial" w:eastAsia="Arial" w:hAnsi="Arial"/>
                <w:sz w:val="15"/>
                <w:szCs w:val="15"/>
                <w:color w:val="auto"/>
              </w:rPr>
              <w:t>(16,378)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1,973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6"/>
              </w:rPr>
              <w:t>(205,938)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7,465</w:t>
            </w: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rPr>
                <w:sz w:val="20"/>
                <w:szCs w:val="20"/>
                <w:color w:val="auto"/>
              </w:rPr>
            </w:pPr>
            <w:r>
              <w:rPr>
                <w:rFonts w:ascii="Arial" w:cs="Arial" w:eastAsia="Arial" w:hAnsi="Arial"/>
                <w:sz w:val="15"/>
                <w:szCs w:val="15"/>
                <w:color w:val="auto"/>
              </w:rPr>
              <w:t>Acquisition-related expenses</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102"/>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4,465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20,855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4,465</w:t>
            </w: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Listing expense</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178,804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40" w:type="dxa"/>
            <w:vAlign w:val="bottom"/>
            <w:tcBorders>
              <w:bottom w:val="single" w:sz="8" w:color="BFE4FF"/>
            </w:tcBorders>
          </w:tcPr>
          <w:p>
            <w:pPr>
              <w:ind w:left="120"/>
              <w:spacing w:after="0"/>
              <w:rPr>
                <w:sz w:val="20"/>
                <w:szCs w:val="20"/>
                <w:color w:val="auto"/>
              </w:rPr>
            </w:pPr>
            <w:r>
              <w:rPr>
                <w:rFonts w:ascii="Arial" w:cs="Arial" w:eastAsia="Arial" w:hAnsi="Arial"/>
                <w:sz w:val="15"/>
                <w:szCs w:val="15"/>
                <w:color w:val="auto"/>
              </w:rPr>
              <w:t>Exit activities</w:t>
            </w:r>
          </w:p>
        </w:tc>
        <w:tc>
          <w:tcPr>
            <w:tcW w:w="660" w:type="dxa"/>
            <w:vAlign w:val="bottom"/>
            <w:tcBorders>
              <w:bottom w:val="single" w:sz="8" w:color="BFE4FF"/>
            </w:tcBorders>
          </w:tcPr>
          <w:p>
            <w:pPr>
              <w:spacing w:after="0"/>
              <w:rPr>
                <w:sz w:val="17"/>
                <w:szCs w:val="17"/>
                <w:color w:val="auto"/>
              </w:rPr>
            </w:pPr>
          </w:p>
        </w:tc>
        <w:tc>
          <w:tcPr>
            <w:tcW w:w="660" w:type="dxa"/>
            <w:vAlign w:val="bottom"/>
            <w:tcBorders>
              <w:bottom w:val="single" w:sz="8" w:color="BFE4FF"/>
            </w:tcBorders>
          </w:tcPr>
          <w:p>
            <w:pPr>
              <w:spacing w:after="0"/>
              <w:rPr>
                <w:sz w:val="17"/>
                <w:szCs w:val="17"/>
                <w:color w:val="auto"/>
              </w:rPr>
            </w:pPr>
          </w:p>
        </w:tc>
        <w:tc>
          <w:tcPr>
            <w:tcW w:w="80" w:type="dxa"/>
            <w:vAlign w:val="bottom"/>
            <w:tcBorders>
              <w:bottom w:val="single" w:sz="8" w:color="BFE4FF"/>
            </w:tcBorders>
          </w:tcPr>
          <w:p>
            <w:pPr>
              <w:spacing w:after="0"/>
              <w:rPr>
                <w:sz w:val="17"/>
                <w:szCs w:val="17"/>
                <w:color w:val="auto"/>
              </w:rPr>
            </w:pPr>
          </w:p>
        </w:tc>
        <w:tc>
          <w:tcPr>
            <w:tcW w:w="20" w:type="dxa"/>
            <w:vAlign w:val="bottom"/>
            <w:tcBorders>
              <w:bottom w:val="single" w:sz="8" w:color="BFE4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5"/>
                <w:szCs w:val="15"/>
                <w:color w:val="auto"/>
              </w:rPr>
              <w:t>2,275</w:t>
            </w:r>
          </w:p>
        </w:tc>
        <w:tc>
          <w:tcPr>
            <w:tcW w:w="160" w:type="dxa"/>
            <w:vAlign w:val="bottom"/>
            <w:tcBorders>
              <w:bottom w:val="single" w:sz="8" w:color="BFE4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BFE4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3,936</w:t>
            </w:r>
          </w:p>
        </w:tc>
        <w:tc>
          <w:tcPr>
            <w:tcW w:w="160" w:type="dxa"/>
            <w:vAlign w:val="bottom"/>
            <w:tcBorders>
              <w:bottom w:val="single" w:sz="8" w:color="BFE4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5"/>
                <w:szCs w:val="15"/>
                <w:color w:val="auto"/>
              </w:rPr>
              <w:t>Non-IFRS net loss</w:t>
            </w:r>
          </w:p>
        </w:tc>
        <w:tc>
          <w:tcPr>
            <w:tcW w:w="660" w:type="dxa"/>
            <w:vAlign w:val="bottom"/>
            <w:tcBorders>
              <w:bottom w:val="single" w:sz="8" w:color="BFE4FF"/>
            </w:tcBorders>
            <w:shd w:val="clear" w:color="auto" w:fill="BFE4FF"/>
          </w:tcPr>
          <w:p>
            <w:pPr>
              <w:spacing w:after="0"/>
              <w:rPr>
                <w:sz w:val="19"/>
                <w:szCs w:val="19"/>
                <w:color w:val="auto"/>
              </w:rPr>
            </w:pPr>
          </w:p>
        </w:tc>
        <w:tc>
          <w:tcPr>
            <w:tcW w:w="66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gridSpan w:val="2"/>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BFE4FF"/>
          </w:tcPr>
          <w:p>
            <w:pPr>
              <w:spacing w:after="0"/>
              <w:rPr>
                <w:sz w:val="19"/>
                <w:szCs w:val="19"/>
                <w:color w:val="auto"/>
              </w:rPr>
            </w:pPr>
          </w:p>
        </w:tc>
        <w:tc>
          <w:tcPr>
            <w:tcW w:w="840" w:type="dxa"/>
            <w:vAlign w:val="bottom"/>
            <w:tcBorders>
              <w:bottom w:val="single" w:sz="8" w:color="auto"/>
            </w:tcBorders>
            <w:gridSpan w:val="5"/>
            <w:shd w:val="clear" w:color="auto" w:fill="BFE4FF"/>
          </w:tcPr>
          <w:p>
            <w:pPr>
              <w:jc w:val="right"/>
              <w:ind w:right="62"/>
              <w:spacing w:after="0"/>
              <w:rPr>
                <w:sz w:val="20"/>
                <w:szCs w:val="20"/>
                <w:color w:val="auto"/>
              </w:rPr>
            </w:pPr>
            <w:r>
              <w:rPr>
                <w:rFonts w:ascii="Arial" w:cs="Arial" w:eastAsia="Arial" w:hAnsi="Arial"/>
                <w:sz w:val="15"/>
                <w:szCs w:val="15"/>
                <w:color w:val="auto"/>
              </w:rPr>
              <w:t>(15,462)</w:t>
            </w:r>
          </w:p>
        </w:tc>
        <w:tc>
          <w:tcPr>
            <w:tcW w:w="16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jc w:val="right"/>
              <w:ind w:right="16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BFE4FF"/>
          </w:tcPr>
          <w:p>
            <w:pPr>
              <w:spacing w:after="0"/>
              <w:rPr>
                <w:sz w:val="19"/>
                <w:szCs w:val="19"/>
                <w:color w:val="auto"/>
              </w:rPr>
            </w:pPr>
          </w:p>
        </w:tc>
        <w:tc>
          <w:tcPr>
            <w:tcW w:w="2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660" w:type="dxa"/>
            <w:vAlign w:val="bottom"/>
            <w:tcBorders>
              <w:bottom w:val="single" w:sz="8" w:color="auto"/>
            </w:tcBorders>
            <w:shd w:val="clear" w:color="auto" w:fill="BFE4FF"/>
          </w:tcPr>
          <w:p>
            <w:pPr>
              <w:jc w:val="right"/>
              <w:ind w:right="64"/>
              <w:spacing w:after="0"/>
              <w:rPr>
                <w:sz w:val="20"/>
                <w:szCs w:val="20"/>
                <w:color w:val="auto"/>
              </w:rPr>
            </w:pPr>
            <w:r>
              <w:rPr>
                <w:rFonts w:ascii="Arial" w:cs="Arial" w:eastAsia="Arial" w:hAnsi="Arial"/>
                <w:sz w:val="15"/>
                <w:szCs w:val="15"/>
                <w:color w:val="auto"/>
              </w:rPr>
              <w:t>(2,683)</w:t>
            </w:r>
          </w:p>
        </w:tc>
        <w:tc>
          <w:tcPr>
            <w:tcW w:w="16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BFE4FF"/>
          </w:tcPr>
          <w:p>
            <w:pPr>
              <w:spacing w:after="0"/>
              <w:rPr>
                <w:sz w:val="19"/>
                <w:szCs w:val="19"/>
                <w:color w:val="auto"/>
              </w:rPr>
            </w:pPr>
          </w:p>
        </w:tc>
        <w:tc>
          <w:tcPr>
            <w:tcW w:w="100" w:type="dxa"/>
            <w:vAlign w:val="bottom"/>
            <w:tcBorders>
              <w:bottom w:val="single" w:sz="8" w:color="auto"/>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spacing w:after="0"/>
              <w:rPr>
                <w:sz w:val="19"/>
                <w:szCs w:val="19"/>
                <w:color w:val="auto"/>
              </w:rPr>
            </w:pPr>
          </w:p>
        </w:tc>
        <w:tc>
          <w:tcPr>
            <w:tcW w:w="780" w:type="dxa"/>
            <w:vAlign w:val="bottom"/>
            <w:tcBorders>
              <w:bottom w:val="single" w:sz="8" w:color="auto"/>
            </w:tcBorders>
            <w:shd w:val="clear" w:color="auto" w:fill="BFE4FF"/>
          </w:tcPr>
          <w:p>
            <w:pPr>
              <w:jc w:val="right"/>
              <w:ind w:right="64"/>
              <w:spacing w:after="0"/>
              <w:rPr>
                <w:sz w:val="20"/>
                <w:szCs w:val="20"/>
                <w:color w:val="auto"/>
              </w:rPr>
            </w:pPr>
            <w:r>
              <w:rPr>
                <w:rFonts w:ascii="Arial" w:cs="Arial" w:eastAsia="Arial" w:hAnsi="Arial"/>
                <w:sz w:val="15"/>
                <w:szCs w:val="15"/>
                <w:color w:val="auto"/>
              </w:rPr>
              <w:t>(63,344)</w:t>
            </w:r>
          </w:p>
        </w:tc>
        <w:tc>
          <w:tcPr>
            <w:tcW w:w="160" w:type="dxa"/>
            <w:vAlign w:val="bottom"/>
            <w:tcBorders>
              <w:bottom w:val="single" w:sz="8" w:color="BFE4FF"/>
            </w:tcBorders>
            <w:shd w:val="clear" w:color="auto" w:fill="BFE4FF"/>
          </w:tcPr>
          <w:p>
            <w:pPr>
              <w:spacing w:after="0"/>
              <w:rPr>
                <w:sz w:val="19"/>
                <w:szCs w:val="19"/>
                <w:color w:val="auto"/>
              </w:rPr>
            </w:pPr>
          </w:p>
        </w:tc>
        <w:tc>
          <w:tcPr>
            <w:tcW w:w="180" w:type="dxa"/>
            <w:vAlign w:val="bottom"/>
            <w:tcBorders>
              <w:bottom w:val="single" w:sz="8" w:color="auto"/>
            </w:tcBorders>
            <w:gridSpan w:val="2"/>
            <w:shd w:val="clear" w:color="auto" w:fill="BFE4FF"/>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BFE4FF"/>
          </w:tcPr>
          <w:p>
            <w:pPr>
              <w:spacing w:after="0"/>
              <w:rPr>
                <w:sz w:val="19"/>
                <w:szCs w:val="19"/>
                <w:color w:val="auto"/>
              </w:rPr>
            </w:pPr>
          </w:p>
        </w:tc>
        <w:tc>
          <w:tcPr>
            <w:tcW w:w="120" w:type="dxa"/>
            <w:vAlign w:val="bottom"/>
            <w:tcBorders>
              <w:bottom w:val="single" w:sz="8" w:color="auto"/>
            </w:tcBorders>
            <w:shd w:val="clear" w:color="auto" w:fill="BFE4FF"/>
          </w:tcPr>
          <w:p>
            <w:pPr>
              <w:spacing w:after="0"/>
              <w:rPr>
                <w:sz w:val="19"/>
                <w:szCs w:val="19"/>
                <w:color w:val="auto"/>
              </w:rPr>
            </w:pPr>
          </w:p>
        </w:tc>
        <w:tc>
          <w:tcPr>
            <w:tcW w:w="660" w:type="dxa"/>
            <w:vAlign w:val="bottom"/>
            <w:tcBorders>
              <w:bottom w:val="single" w:sz="8" w:color="auto"/>
            </w:tcBorders>
            <w:shd w:val="clear" w:color="auto" w:fill="BFE4FF"/>
          </w:tcPr>
          <w:p>
            <w:pPr>
              <w:jc w:val="right"/>
              <w:ind w:right="64"/>
              <w:spacing w:after="0"/>
              <w:rPr>
                <w:sz w:val="20"/>
                <w:szCs w:val="20"/>
                <w:color w:val="auto"/>
              </w:rPr>
            </w:pPr>
            <w:r>
              <w:rPr>
                <w:rFonts w:ascii="Arial" w:cs="Arial" w:eastAsia="Arial" w:hAnsi="Arial"/>
                <w:sz w:val="15"/>
                <w:szCs w:val="15"/>
                <w:color w:val="auto"/>
                <w:w w:val="89"/>
              </w:rPr>
              <w:t>(50,394)</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8"/>
          </w:tcPr>
          <w:p>
            <w:pPr>
              <w:jc w:val="center"/>
              <w:ind w:right="640"/>
              <w:spacing w:after="0"/>
              <w:rPr>
                <w:sz w:val="20"/>
                <w:szCs w:val="20"/>
                <w:color w:val="auto"/>
              </w:rPr>
            </w:pPr>
            <w:r>
              <w:rPr>
                <w:rFonts w:ascii="Arial" w:cs="Arial" w:eastAsia="Arial" w:hAnsi="Arial"/>
                <w:sz w:val="15"/>
                <w:szCs w:val="15"/>
                <w:b w:val="1"/>
                <w:bCs w:val="1"/>
                <w:color w:val="auto"/>
                <w:w w:val="93"/>
              </w:rPr>
              <w:t>Three Months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w w:val="91"/>
              </w:rPr>
              <w:t>Twelve Months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5"/>
                <w:szCs w:val="15"/>
                <w:b w:val="1"/>
                <w:bCs w:val="1"/>
                <w:color w:val="auto"/>
                <w:w w:val="92"/>
              </w:rPr>
              <w:t>Ended December 31,</w:t>
            </w: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5"/>
                <w:szCs w:val="15"/>
                <w:b w:val="1"/>
                <w:bCs w:val="1"/>
                <w:color w:val="auto"/>
                <w:w w:val="90"/>
              </w:rPr>
              <w:t>Ended December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5"/>
                <w:szCs w:val="15"/>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62"/>
              <w:spacing w:after="0"/>
              <w:rPr>
                <w:sz w:val="20"/>
                <w:szCs w:val="20"/>
                <w:color w:val="auto"/>
              </w:rPr>
            </w:pPr>
            <w:r>
              <w:rPr>
                <w:rFonts w:ascii="Arial" w:cs="Arial" w:eastAsia="Arial" w:hAnsi="Arial"/>
                <w:sz w:val="15"/>
                <w:szCs w:val="15"/>
                <w:color w:val="auto"/>
              </w:rPr>
              <w:t>(12,532)</w:t>
            </w:r>
          </w:p>
        </w:tc>
        <w:tc>
          <w:tcPr>
            <w:tcW w:w="5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(14,159)</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(98,908)</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89"/>
              </w:rPr>
              <w:t>(67,362)</w:t>
            </w: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rPr>
                <w:sz w:val="20"/>
                <w:szCs w:val="20"/>
                <w:color w:val="auto"/>
              </w:rPr>
            </w:pPr>
            <w:r>
              <w:rPr>
                <w:rFonts w:ascii="Arial" w:cs="Arial" w:eastAsia="Arial" w:hAnsi="Arial"/>
                <w:sz w:val="15"/>
                <w:szCs w:val="15"/>
                <w:color w:val="auto"/>
              </w:rPr>
              <w:t>Interest expense, net</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5"/>
          </w:tcPr>
          <w:p>
            <w:pPr>
              <w:jc w:val="right"/>
              <w:ind w:right="102"/>
              <w:spacing w:after="0"/>
              <w:rPr>
                <w:sz w:val="20"/>
                <w:szCs w:val="20"/>
                <w:color w:val="auto"/>
              </w:rPr>
            </w:pPr>
            <w:r>
              <w:rPr>
                <w:rFonts w:ascii="Arial" w:cs="Arial" w:eastAsia="Arial" w:hAnsi="Arial"/>
                <w:sz w:val="15"/>
                <w:szCs w:val="15"/>
                <w:color w:val="auto"/>
              </w:rPr>
              <w:t>2,789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2,850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9,729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10,463</w:t>
            </w: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Provision for income taxes</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102"/>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Depreciation and amortization</w:t>
            </w: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5"/>
                <w:szCs w:val="15"/>
                <w:color w:val="auto"/>
              </w:rPr>
              <w:t>21,831</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25,302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94,807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94,819</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EBITDA</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102"/>
              <w:spacing w:after="0"/>
              <w:rPr>
                <w:sz w:val="20"/>
                <w:szCs w:val="20"/>
                <w:color w:val="auto"/>
              </w:rPr>
            </w:pPr>
            <w:r>
              <w:rPr>
                <w:rFonts w:ascii="Arial" w:cs="Arial" w:eastAsia="Arial" w:hAnsi="Arial"/>
                <w:sz w:val="15"/>
                <w:szCs w:val="15"/>
                <w:color w:val="auto"/>
              </w:rPr>
              <w:t>12,090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13,993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37,920</w:t>
            </w: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rPr>
                <w:sz w:val="20"/>
                <w:szCs w:val="20"/>
                <w:color w:val="auto"/>
              </w:rPr>
            </w:pPr>
            <w:r>
              <w:rPr>
                <w:rFonts w:ascii="Arial" w:cs="Arial" w:eastAsia="Arial" w:hAnsi="Arial"/>
                <w:sz w:val="15"/>
                <w:szCs w:val="15"/>
                <w:color w:val="auto"/>
              </w:rPr>
              <w:t>Share-based compensation</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5"/>
          </w:tcPr>
          <w:p>
            <w:pPr>
              <w:jc w:val="right"/>
              <w:ind w:right="102"/>
              <w:spacing w:after="0"/>
              <w:rPr>
                <w:sz w:val="20"/>
                <w:szCs w:val="20"/>
                <w:color w:val="auto"/>
              </w:rPr>
            </w:pPr>
            <w:r>
              <w:rPr>
                <w:rFonts w:ascii="Arial" w:cs="Arial" w:eastAsia="Arial" w:hAnsi="Arial"/>
                <w:sz w:val="15"/>
                <w:szCs w:val="15"/>
                <w:color w:val="auto"/>
              </w:rPr>
              <w:t>11,173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5,038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37,907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5,038</w:t>
            </w:r>
          </w:p>
        </w:tc>
        <w:tc>
          <w:tcPr>
            <w:tcW w:w="0" w:type="dxa"/>
            <w:vAlign w:val="bottom"/>
          </w:tcPr>
          <w:p>
            <w:pPr>
              <w:spacing w:after="0"/>
              <w:rPr>
                <w:sz w:val="1"/>
                <w:szCs w:val="1"/>
                <w:color w:val="auto"/>
              </w:rPr>
            </w:pPr>
          </w:p>
        </w:tc>
      </w:tr>
      <w:tr>
        <w:trPr>
          <w:trHeight w:val="207"/>
        </w:trPr>
        <w:tc>
          <w:tcPr>
            <w:tcW w:w="2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8"/>
              </w:rPr>
              <w:t>Change in fair value of financial liabilities</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62"/>
              <w:spacing w:after="0"/>
              <w:rPr>
                <w:sz w:val="20"/>
                <w:szCs w:val="20"/>
                <w:color w:val="auto"/>
              </w:rPr>
            </w:pPr>
            <w:r>
              <w:rPr>
                <w:rFonts w:ascii="Arial" w:cs="Arial" w:eastAsia="Arial" w:hAnsi="Arial"/>
                <w:sz w:val="15"/>
                <w:szCs w:val="15"/>
                <w:color w:val="auto"/>
              </w:rPr>
              <w:t>(16,378)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1,973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6"/>
              </w:rPr>
              <w:t>(205,938)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7,465</w:t>
            </w:r>
          </w:p>
        </w:tc>
        <w:tc>
          <w:tcPr>
            <w:tcW w:w="0" w:type="dxa"/>
            <w:vAlign w:val="bottom"/>
          </w:tcPr>
          <w:p>
            <w:pPr>
              <w:spacing w:after="0"/>
              <w:rPr>
                <w:sz w:val="1"/>
                <w:szCs w:val="1"/>
                <w:color w:val="auto"/>
              </w:rPr>
            </w:pPr>
          </w:p>
        </w:tc>
      </w:tr>
      <w:tr>
        <w:trPr>
          <w:trHeight w:val="198"/>
        </w:trPr>
        <w:tc>
          <w:tcPr>
            <w:tcW w:w="2140" w:type="dxa"/>
            <w:vAlign w:val="bottom"/>
          </w:tcPr>
          <w:p>
            <w:pPr>
              <w:ind w:left="120"/>
              <w:spacing w:after="0"/>
              <w:rPr>
                <w:sz w:val="20"/>
                <w:szCs w:val="20"/>
                <w:color w:val="auto"/>
              </w:rPr>
            </w:pPr>
            <w:r>
              <w:rPr>
                <w:rFonts w:ascii="Arial" w:cs="Arial" w:eastAsia="Arial" w:hAnsi="Arial"/>
                <w:sz w:val="15"/>
                <w:szCs w:val="15"/>
                <w:color w:val="auto"/>
              </w:rPr>
              <w:t>Acquisition-related expenses</w:t>
            </w: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102"/>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4,465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20,855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4"/>
              <w:spacing w:after="0"/>
              <w:rPr>
                <w:sz w:val="20"/>
                <w:szCs w:val="20"/>
                <w:color w:val="auto"/>
              </w:rPr>
            </w:pPr>
            <w:r>
              <w:rPr>
                <w:rFonts w:ascii="Arial" w:cs="Arial" w:eastAsia="Arial" w:hAnsi="Arial"/>
                <w:sz w:val="15"/>
                <w:szCs w:val="15"/>
                <w:color w:val="auto"/>
              </w:rPr>
              <w:t>4,465</w:t>
            </w: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Listing expense</w:t>
            </w: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w w:val="93"/>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178,804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Exit activities</w:t>
            </w:r>
          </w:p>
        </w:tc>
        <w:tc>
          <w:tcPr>
            <w:tcW w:w="6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5"/>
                <w:szCs w:val="15"/>
                <w:color w:val="auto"/>
              </w:rPr>
              <w:t>2,275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3,936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ind w:right="102"/>
              <w:spacing w:after="0"/>
              <w:rPr>
                <w:sz w:val="20"/>
                <w:szCs w:val="20"/>
                <w:color w:val="auto"/>
              </w:rPr>
            </w:pPr>
            <w:r>
              <w:rPr>
                <w:rFonts w:ascii="Arial" w:cs="Arial" w:eastAsia="Arial" w:hAnsi="Arial"/>
                <w:sz w:val="15"/>
                <w:szCs w:val="15"/>
                <w:color w:val="auto"/>
              </w:rPr>
              <w:t>9,160</w:t>
            </w:r>
          </w:p>
        </w:tc>
        <w:tc>
          <w:tcPr>
            <w:tcW w:w="5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25,469</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41,194</w:t>
            </w:r>
          </w:p>
        </w:tc>
        <w:tc>
          <w:tcPr>
            <w:tcW w:w="1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54,888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60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11</w:t>
      </w:r>
    </w:p>
    <w:sectPr>
      <w:pgSz w:w="11900" w:h="16838" w:orient="portrait"/>
      <w:cols w:equalWidth="0" w:num="1">
        <w:col w:w="10960"/>
      </w:cols>
      <w:pgMar w:left="600" w:top="1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2023-02-16T05:20:26Z</dcterms:created>
  <dcterms:modified xsi:type="dcterms:W3CDTF">2023-02-16T05:20:26Z</dcterms:modified>
</cp:coreProperties>
</file>