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lineRule="auto" w:line="240"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36"/>
        </w:rPr>
      </w:pPr>
      <w:r>
        <w:rPr>
          <w:rFonts w:ascii="Times New Roman;sans-serif" w:hAnsi="Times New Roman;sans-serif"/>
          <w:b/>
          <w:color w:val="000000"/>
          <w:sz w:val="36"/>
        </w:rPr>
        <w:t>FORM 6-K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 xml:space="preserve">Report of Foreign Private Issuer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Pursuant to Rule 13a-16 or 15d-16 </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under the Securities Exchange Act of 1934 </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For the month of November 2023</w: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001-41327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48"/>
        </w:rPr>
      </w:pPr>
      <w:r>
        <w:rPr>
          <w:rFonts w:ascii="Times New Roman;sans-serif" w:hAnsi="Times New Roman;sans-serif"/>
          <w:b/>
          <w:color w:val="000000"/>
          <w:sz w:val="48"/>
        </w:rPr>
        <w:t xml:space="preserve">GOGORO INC.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11F, Building C,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 225, Section 2, Chang’an E. Rd.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SongShan District, Taipei City 105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Taiwan </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of principal executive offices) </w:t>
      </w:r>
    </w:p>
    <w:p>
      <w:pPr>
        <w:pStyle w:val="TextBody"/>
        <w:bidi w:val="0"/>
        <w:spacing w:lineRule="auto" w:line="240"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240" w:after="283"/>
        <w:jc w:val="left"/>
        <w:rPr/>
      </w:pPr>
      <w:r>
        <w:rPr>
          <w:rFonts w:ascii="Times New Roman;sans-serif" w:hAnsi="Times New Roman;sans-serif"/>
          <w:b w:val="false"/>
          <w:color w:val="000000"/>
          <w:sz w:val="20"/>
        </w:rPr>
        <w:t>Indicate by check mark whether the registrant files or will file annual reports under cover of Form 20-F or Form 40-F. Form 20-F  </w:t>
      </w:r>
      <w:r>
        <w:rPr>
          <w:color w:val="000000"/>
        </w:rPr>
        <w:t>☒    </w:t>
      </w:r>
      <w:r>
        <w:rPr>
          <w:rFonts w:ascii="Times New Roman;sans-serif" w:hAnsi="Times New Roman;sans-serif"/>
          <w:b w:val="false"/>
          <w:color w:val="000000"/>
          <w:sz w:val="20"/>
        </w:rPr>
        <w:t>Form 40-F  </w:t>
      </w:r>
      <w:r>
        <w:rPr>
          <w:color w:val="000000"/>
        </w:rPr>
        <w:t>☐ </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53" w:after="283"/>
              <w:jc w:val="left"/>
              <w:rPr>
                <w:color w:val="000000"/>
              </w:rPr>
            </w:pPr>
            <w:r>
              <w:rPr>
                <w:color w:val="000000"/>
              </w:rPr>
              <w:t> </w:t>
            </w:r>
          </w:p>
          <w:p>
            <w:pPr>
              <w:pStyle w:val="TableContents"/>
              <w:bidi w:val="0"/>
              <w:spacing w:lineRule="auto" w:line="319" w:before="0" w:after="30"/>
              <w:jc w:val="left"/>
              <w:rPr>
                <w:color w:val="000000"/>
              </w:rPr>
            </w:pPr>
            <w:r>
              <w:rPr>
                <w:color w:val="000000"/>
              </w:rPr>
              <w:t> </w:t>
            </w:r>
          </w:p>
        </w:tc>
      </w:tr>
    </w:tbl>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EXPLANATORY NOTE </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16, 2023, Gogoro Inc. issued a press release announcing its financial and operating results for the third quarter ended September 30, 2023. A copy of the press release is furnished herewith as Exhibit 99.1 to this Report on Form 6-K and is incorporated by reference herein.</w:t>
      </w:r>
    </w:p>
    <w:p>
      <w:pPr>
        <w:pStyle w:val="TextBody"/>
        <w:bidi w:val="0"/>
        <w:spacing w:before="0" w:after="0"/>
        <w:jc w:val="left"/>
        <w:rPr/>
      </w:pPr>
      <w:r>
        <w:rPr/>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Exhibit 99.1 to this Form 6-K shall be deemed to be filed with the Securities and Exchange Commission and incorporated by reference into the Company’s registration statement on Form F-3 (File No. 333-264619), and shall be a part thereof, to the extent not superseded by documents or reports subsequently filed or furnished.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EXHIBITS INDEX</w:t>
      </w:r>
    </w:p>
    <w:p>
      <w:pPr>
        <w:pStyle w:val="TextBody"/>
        <w:bidi w:val="0"/>
        <w:spacing w:lineRule="auto" w:line="240" w:before="0" w:after="0"/>
        <w:jc w:val="left"/>
        <w:rPr>
          <w:color w:val="000000"/>
        </w:rPr>
      </w:pPr>
      <w:r>
        <w:rPr>
          <w:color w:val="000000"/>
        </w:rPr>
        <w:t> </w:t>
      </w:r>
    </w:p>
    <w:tbl>
      <w:tblPr>
        <w:tblW w:w="623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523"/>
        <w:gridCol w:w="1523"/>
        <w:gridCol w:w="215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215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53" w:after="283"/>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3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Title</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3earningrelease.htm">
              <w:r>
                <w:rPr>
                  <w:rStyle w:val="InternetLink"/>
                  <w:rFonts w:ascii="Times New Roman;sans-serif" w:hAnsi="Times New Roman;sans-serif"/>
                  <w:b w:val="false"/>
                  <w:color w:val="0000FF"/>
                  <w:sz w:val="20"/>
                  <w:u w:val="single"/>
                </w:rPr>
                <w:t>Press release issued by Gogoro Inc., dated November 16, 2023.</w:t>
              </w:r>
            </w:hyperlink>
          </w:p>
        </w:tc>
      </w:tr>
    </w:tbl>
    <w:p>
      <w:pPr>
        <w:pStyle w:val="TextBody"/>
        <w:bidi w:val="0"/>
        <w:spacing w:before="0" w:after="0"/>
        <w:jc w:val="left"/>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40" w:before="0" w:after="0"/>
        <w:jc w:val="left"/>
        <w:rPr>
          <w:color w:val="000000"/>
        </w:rPr>
      </w:pPr>
      <w:r>
        <w:rPr>
          <w:color w:val="000000"/>
        </w:rPr>
        <w:t> </w:t>
      </w:r>
    </w:p>
    <w:tbl>
      <w:tblPr>
        <w:tblW w:w="5451"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109"/>
        <w:gridCol w:w="109"/>
        <w:gridCol w:w="109"/>
        <w:gridCol w:w="662"/>
        <w:gridCol w:w="662"/>
        <w:gridCol w:w="94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Gogoro Inc.</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16,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Bruce Morrison Aitken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Bruce Morrison Aitken</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pPr>
      <w:r>
        <w:rPr>
          <w:rFonts w:ascii="Times New Roman;sans-serif" w:hAnsi="Times New Roman;sans-serif"/>
          <w:b/>
          <w:color w:val="000000"/>
          <w:sz w:val="30"/>
          <w:shd w:fill="FEFFFF" w:val="clear"/>
        </w:rPr>
        <w:t xml:space="preserve">Gogoro Releases Third Quarter </w:t>
      </w:r>
      <w:r>
        <w:rPr>
          <w:rFonts w:ascii="Times New Roman;sans-serif" w:hAnsi="Times New Roman;sans-serif"/>
          <w:b/>
          <w:color w:val="000000"/>
          <w:sz w:val="30"/>
        </w:rPr>
        <w:t>2023 Financial Results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color w:val="000000"/>
          <w:sz w:val="22"/>
          <w:shd w:fill="FEFFFF" w:val="clear"/>
        </w:rPr>
        <w:t>TAIPEI, Taiwan,</w:t>
      </w:r>
      <w:r>
        <w:rPr>
          <w:color w:val="000000"/>
          <w:shd w:fill="FEFFFF" w:val="clear"/>
        </w:rPr>
        <w:t xml:space="preserve"> </w:t>
      </w:r>
      <w:r>
        <w:rPr>
          <w:rFonts w:ascii="Times New Roman;sans-serif" w:hAnsi="Times New Roman;sans-serif"/>
          <w:b/>
          <w:color w:val="000000"/>
          <w:sz w:val="22"/>
          <w:shd w:fill="FEFFFF" w:val="clear"/>
        </w:rPr>
        <w:t>November 16</w:t>
      </w:r>
      <w:r>
        <w:rPr>
          <w:rFonts w:ascii="Times New Roman;sans-serif" w:hAnsi="Times New Roman;sans-serif"/>
          <w:b/>
          <w:color w:val="000000"/>
          <w:sz w:val="22"/>
        </w:rPr>
        <w:t>, 2023</w:t>
      </w:r>
      <w:r>
        <w:rPr>
          <w:color w:val="000000"/>
          <w:shd w:fill="FEFFFF" w:val="clear"/>
        </w:rPr>
        <w:t xml:space="preserve"> – </w:t>
      </w:r>
      <w:r>
        <w:rPr>
          <w:rFonts w:ascii="Times New Roman;sans-serif" w:hAnsi="Times New Roman;sans-serif"/>
          <w:b w:val="false"/>
          <w:color w:val="000000"/>
          <w:sz w:val="22"/>
        </w:rPr>
        <w:t>Gogoro Inc. (Nasdaq: GGR), a global technology leader in battery swapping ecosystems that enable sustainable mobility solutions for cities, today released its financial results for its third quarter ended September 30, 2023.</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Third Quarter 2023 Summary</w:t>
      </w:r>
    </w:p>
    <w:p>
      <w:pPr>
        <w:pStyle w:val="TextBody"/>
        <w:bidi w:val="0"/>
        <w:spacing w:before="0" w:after="0"/>
        <w:jc w:val="left"/>
        <w:rPr/>
      </w:pPr>
      <w:r>
        <w:rPr/>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Revenue of $91.8 million, down 10.2% year-over-year and down 6.5% on a constant currency basis;</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Battery swapping service revenue of $33.6 million, up 10.4% year-over-year and up 14.1% on a constant currency basis;</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Gross margin of 18.3%, up from 17.4% in the same quarter last year. Non-IFRS gross margin of 19.2%, down 0.8% year-over-year;</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 xml:space="preserve">Net loss of $3.1 million, down from a net income of $56.4 million in the same quarter last year primarily due to a decrease of $66.6 million in the fair value of financial liabilities associated with outstanding earnout shares, earn-in shares and warrants compared to last year; </w:t>
      </w:r>
    </w:p>
    <w:p>
      <w:pPr>
        <w:pStyle w:val="TextBody"/>
        <w:bidi w:val="0"/>
        <w:spacing w:lineRule="auto" w:line="316" w:before="0" w:after="200"/>
        <w:ind w:left="0" w:right="0" w:hanging="360"/>
        <w:jc w:val="left"/>
        <w:rPr/>
      </w:pPr>
      <w:r>
        <w:rPr>
          <w:color w:val="000000"/>
        </w:rPr>
        <w:t>▪</w:t>
      </w:r>
      <w:r>
        <w:rPr>
          <w:rFonts w:ascii="Times New Roman;sans-serif" w:hAnsi="Times New Roman;sans-serif"/>
          <w:b/>
          <w:color w:val="000000"/>
          <w:sz w:val="22"/>
        </w:rPr>
        <w:t xml:space="preserve">Adjusted EBITDA of $13.1 million, up from $9.2 million in the same quarter last year. </w:t>
      </w:r>
    </w:p>
    <w:p>
      <w:pPr>
        <w:pStyle w:val="TextBody"/>
        <w:bidi w:val="0"/>
        <w:spacing w:lineRule="auto" w:line="316" w:before="0" w:after="0"/>
        <w:ind w:left="0" w:right="0" w:firstLine="7"/>
        <w:jc w:val="left"/>
        <w:rPr>
          <w:color w:val="000000"/>
        </w:rPr>
      </w:pPr>
      <w:r>
        <w:rPr>
          <w:color w:val="000000"/>
        </w:rPr>
        <w:t>“</w:t>
      </w:r>
      <w:r>
        <w:rPr>
          <w:rFonts w:ascii="Times New Roman;sans-serif" w:hAnsi="Times New Roman;sans-serif"/>
          <w:b w:val="false"/>
          <w:color w:val="000000"/>
          <w:sz w:val="22"/>
        </w:rPr>
        <w:t>Gogoro continues to see strong demand across Asia and internationally for smart electric two-wheel vehicles and battery swapping that is proven safe, scalable, and open. Following successful pilots in India and the Philippines, we expect to launch commercially in these markets by the end of the year. With the introduction of the new CrossOver Smartscooter, we are continuing to expand our product portfolio to meet the growing needs of our diverse customer base,” said Horace Luke, chairman, founder, and CEO of Gogoro. “The inevitability of smart electric transportation is clear, not just for four-wheelers, but for two-wheelers in the world’s emerging megacities across Asia, Africa, and South America. National and municipal governments are looking for smart, safe, and sustainable solutions for their transportation needs while businesses are looking for electric delivery vehicles that can refuel in seconds while requiring minimal maintenance. Gogoro battery swapping is the proven solution that many businesses and governments are choosing to address their urgent urban transportation needs.”</w:t>
      </w:r>
    </w:p>
    <w:p>
      <w:pPr>
        <w:pStyle w:val="TextBody"/>
        <w:bidi w:val="0"/>
        <w:spacing w:before="0" w:after="0"/>
        <w:jc w:val="left"/>
        <w:rPr/>
      </w:pPr>
      <w:r>
        <w:rPr/>
      </w:r>
    </w:p>
    <w:p>
      <w:pPr>
        <w:pStyle w:val="TextBody"/>
        <w:bidi w:val="0"/>
        <w:spacing w:lineRule="auto" w:line="316" w:before="0" w:after="0"/>
        <w:ind w:left="0" w:right="0" w:firstLine="7"/>
        <w:jc w:val="left"/>
        <w:rPr>
          <w:color w:val="000000"/>
        </w:rPr>
      </w:pPr>
      <w:r>
        <w:rPr>
          <w:color w:val="000000"/>
        </w:rPr>
        <w:t>“</w:t>
      </w:r>
      <w:r>
        <w:rPr>
          <w:rFonts w:ascii="Times New Roman;sans-serif" w:hAnsi="Times New Roman;sans-serif"/>
          <w:b w:val="false"/>
          <w:color w:val="000000"/>
          <w:sz w:val="22"/>
        </w:rPr>
        <w:t>In Q3, while we invested in international expansion, built out our product line and experienced fierce price competition from gas vehicle makers, we continued to exercise sound financial management and discipline. These results represent our continuous focus on gross margin, operating cash flow and operational efficiency,” said Bruce Aitken, CFO of Gogoro. “We plan to continue broadening our product portfolio by introducing new innovative Smartscooters at various price ranges and expect to execute significant new product introductions throughout 2024. We expect to continue investing in Taiwan as well as our new expansion markets of India, the Philippines, and others to prepare for opportunities in 2024.”</w:t>
      </w:r>
    </w:p>
    <w:p>
      <w:pPr>
        <w:pStyle w:val="TextBody"/>
        <w:bidi w:val="0"/>
        <w:spacing w:before="0" w:after="0"/>
        <w:ind w:left="0" w:right="0" w:firstLine="7"/>
        <w:jc w:val="left"/>
        <w:rPr/>
      </w:pPr>
      <w:r>
        <w:rPr/>
      </w:r>
    </w:p>
    <w:p>
      <w:pPr>
        <w:pStyle w:val="TextBody"/>
        <w:bidi w:val="0"/>
        <w:ind w:left="0" w:right="0" w:firstLine="7"/>
        <w:jc w:val="left"/>
        <w:rPr/>
      </w:pPr>
      <w:r>
        <w:rPr/>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Third Quarter 2023 Financial Overview</w:t>
      </w:r>
    </w:p>
    <w:p>
      <w:pPr>
        <w:pStyle w:val="TextBody"/>
        <w:bidi w:val="0"/>
        <w:spacing w:before="0" w:after="0"/>
        <w:jc w:val="left"/>
        <w:rPr/>
      </w:pPr>
      <w:r>
        <w:rPr/>
      </w:r>
    </w:p>
    <w:p>
      <w:pPr>
        <w:pStyle w:val="TextBody"/>
        <w:bidi w:val="0"/>
        <w:spacing w:lineRule="auto" w:line="268" w:before="0" w:after="200"/>
        <w:jc w:val="left"/>
        <w:rPr/>
      </w:pPr>
      <w:r>
        <w:rPr>
          <w:rFonts w:ascii="Times New Roman;sans-serif" w:hAnsi="Times New Roman;sans-serif"/>
          <w:b/>
          <w:color w:val="000000"/>
          <w:sz w:val="22"/>
        </w:rPr>
        <w:t>Operating Revenues</w:t>
      </w:r>
      <w:r>
        <w:rPr>
          <w:color w:val="000000"/>
        </w:rPr>
        <w:t xml:space="preserve"> </w:t>
      </w:r>
    </w:p>
    <w:p>
      <w:pPr>
        <w:pStyle w:val="TextBody"/>
        <w:bidi w:val="0"/>
        <w:spacing w:lineRule="auto" w:line="316" w:before="0" w:after="0"/>
        <w:jc w:val="left"/>
        <w:rPr/>
      </w:pPr>
      <w:r>
        <w:rPr>
          <w:rFonts w:ascii="Times New Roman;sans-serif" w:hAnsi="Times New Roman;sans-serif"/>
          <w:b w:val="false"/>
          <w:color w:val="000000"/>
          <w:sz w:val="22"/>
        </w:rPr>
        <w:t>For the third quarter, the total revenue was $91.8 million, down 10.2% year-over-year and down 6.5%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xml:space="preserve">. Had foreign exchange rates remained constant with the average rate of the same quarter last year, revenue would have been up by an additional $3.8 million. </w:t>
      </w:r>
    </w:p>
    <w:p>
      <w:pPr>
        <w:pStyle w:val="TextBody"/>
        <w:bidi w:val="0"/>
        <w:spacing w:before="0" w:after="0"/>
        <w:ind w:left="0" w:right="0" w:firstLine="720"/>
        <w:jc w:val="left"/>
        <w:rPr/>
      </w:pPr>
      <w:r>
        <w:rPr/>
      </w:r>
    </w:p>
    <w:p>
      <w:pPr>
        <w:pStyle w:val="TextBody"/>
        <w:bidi w:val="0"/>
        <w:spacing w:lineRule="auto" w:line="316" w:before="0" w:after="0"/>
        <w:ind w:left="0" w:right="0" w:hanging="360"/>
        <w:jc w:val="left"/>
        <w:rPr/>
      </w:pPr>
      <w:r>
        <w:rPr>
          <w:color w:val="000000"/>
        </w:rPr>
        <w:t>▪</w:t>
      </w:r>
      <w:r>
        <w:rPr>
          <w:rFonts w:ascii="Times New Roman;sans-serif" w:hAnsi="Times New Roman;sans-serif"/>
          <w:b w:val="false"/>
          <w:color w:val="000000"/>
          <w:sz w:val="22"/>
        </w:rPr>
        <w:t>Sales of hardware and other revenues for the quarter were $58.2 million, down 19.0% year-over-year, and down 15.2%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xml:space="preserve">. Both electric powered two-wheelers ("PTW") and Powered by Gogoro Network ("PBGN") markets were negatively impacted by the result of deep discounts on internal combustion engine (“ICE”) vehicles introduced by Taiwan scooter manufacturers in the third quarter. We refrained from participating in the price war as we believe that this approach is not in the best interest of Gogoro's long-term growth strategy. Compared to the same quarter last year, sales of all electric PTW vehicles were down 13.0% and Gogoro's branded vehicles were down 18.0%. </w:t>
      </w:r>
    </w:p>
    <w:p>
      <w:pPr>
        <w:pStyle w:val="TextBody"/>
        <w:bidi w:val="0"/>
        <w:spacing w:before="0" w:after="0"/>
        <w:jc w:val="left"/>
        <w:rPr/>
      </w:pPr>
      <w:r>
        <w:rPr/>
      </w:r>
    </w:p>
    <w:p>
      <w:pPr>
        <w:pStyle w:val="TextBody"/>
        <w:bidi w:val="0"/>
        <w:spacing w:lineRule="auto" w:line="316" w:before="0" w:after="0"/>
        <w:ind w:left="0" w:right="0" w:hanging="360"/>
        <w:jc w:val="left"/>
        <w:rPr/>
      </w:pPr>
      <w:r>
        <w:rPr>
          <w:color w:val="000000"/>
        </w:rPr>
        <w:t>▪</w:t>
      </w:r>
      <w:r>
        <w:rPr>
          <w:rFonts w:ascii="Times New Roman;sans-serif" w:hAnsi="Times New Roman;sans-serif"/>
          <w:b w:val="false"/>
          <w:color w:val="000000"/>
          <w:sz w:val="22"/>
        </w:rPr>
        <w:t>Battery swapping service revenue for the third quarter was $33.6 million, up 10.4% year-over-year, and up 14.1% year-over-year on a constant currency basis</w:t>
      </w:r>
      <w:r>
        <w:rPr>
          <w:rFonts w:ascii="Times New Roman;sans-serif" w:hAnsi="Times New Roman;sans-serif"/>
          <w:b w:val="false"/>
          <w:color w:val="000000"/>
          <w:sz w:val="14"/>
        </w:rPr>
        <w:t>1</w:t>
      </w:r>
      <w:r>
        <w:rPr>
          <w:rFonts w:ascii="Times New Roman;sans-serif" w:hAnsi="Times New Roman;sans-serif"/>
          <w:b w:val="false"/>
          <w:color w:val="000000"/>
          <w:sz w:val="22"/>
        </w:rPr>
        <w:t>. Total subscribers at the end of the third quarter exceeded 570,000, up 12.9% from 505,000 subscribers at the end of the same quarter last year. The year-over-year increase in battery swapping service revenue was primarily due to our larger subscriber base compared to the same quarter last year and the high retention rate of our subscribers. We continue to see the strength of our subscription-based business model to accrue more customers to maximize our battery swapping network efficiency.</w:t>
      </w:r>
    </w:p>
    <w:p>
      <w:pPr>
        <w:pStyle w:val="TextBody"/>
        <w:bidi w:val="0"/>
        <w:spacing w:before="0" w:after="0"/>
        <w:jc w:val="left"/>
        <w:rPr/>
      </w:pPr>
      <w:r>
        <w:rPr/>
      </w:r>
    </w:p>
    <w:p>
      <w:pPr>
        <w:pStyle w:val="TextBody"/>
        <w:bidi w:val="0"/>
        <w:spacing w:lineRule="auto" w:line="268" w:before="0" w:after="200"/>
        <w:jc w:val="left"/>
        <w:rPr/>
      </w:pPr>
      <w:r>
        <w:rPr>
          <w:rFonts w:ascii="Times New Roman;sans-serif" w:hAnsi="Times New Roman;sans-serif"/>
          <w:b/>
          <w:color w:val="000000"/>
          <w:sz w:val="22"/>
        </w:rPr>
        <w:t>Gross Margin</w:t>
      </w:r>
      <w:r>
        <w:rPr>
          <w:color w:val="000000"/>
        </w:rPr>
        <w:t xml:space="preserve"> </w:t>
      </w:r>
    </w:p>
    <w:p>
      <w:pPr>
        <w:pStyle w:val="TextBody"/>
        <w:bidi w:val="0"/>
        <w:spacing w:lineRule="auto" w:line="316" w:before="0" w:after="0"/>
        <w:jc w:val="left"/>
        <w:rPr/>
      </w:pPr>
      <w:r>
        <w:rPr>
          <w:rFonts w:ascii="Times New Roman;sans-serif" w:hAnsi="Times New Roman;sans-serif"/>
          <w:b w:val="false"/>
          <w:color w:val="000000"/>
          <w:sz w:val="22"/>
        </w:rPr>
        <w:t>For the third quarter, gross margin was 18.3%, up from 17.4% in the same quarter last year while non-IFRS gross margin</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 xml:space="preserve">was 19.2%, down from 20.0% in the same quarter last year. The favorable change in gross margin was driven by the improved cost efficiencies of Gogoro's battery swapping services and improvements in other operational efficiencies. This favorable change was partially offset by the higher production-cost-per-vehicle due to lower volume, increased promotion costs per scooter, and changes in the mix of vehicles sold. </w:t>
      </w:r>
    </w:p>
    <w:p>
      <w:pPr>
        <w:pStyle w:val="TextBody"/>
        <w:bidi w:val="0"/>
        <w:spacing w:before="0" w:after="0"/>
        <w:jc w:val="left"/>
        <w:rPr/>
      </w:pPr>
      <w:r>
        <w:rPr/>
      </w:r>
    </w:p>
    <w:p>
      <w:pPr>
        <w:pStyle w:val="TextBody"/>
        <w:bidi w:val="0"/>
        <w:spacing w:lineRule="auto" w:line="268" w:before="0" w:after="200"/>
        <w:jc w:val="left"/>
        <w:rPr/>
      </w:pPr>
      <w:r>
        <w:rPr>
          <w:rFonts w:ascii="Times New Roman;sans-serif" w:hAnsi="Times New Roman;sans-serif"/>
          <w:b/>
          <w:color w:val="000000"/>
          <w:sz w:val="22"/>
        </w:rPr>
        <w:t>Net (Loss) Income</w:t>
      </w:r>
      <w:r>
        <w:rPr>
          <w:color w:val="000000"/>
        </w:rPr>
        <w:t xml:space="preserve"> </w:t>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For the third quarter, net loss was $3.1 million, down $59.5 million from a net income $56.4 million in the same quarter last year. The net loss was primarily due to a decrease of $66.6 million in the fair value of financial liabilities associated with outstanding earnout shares, earn-in shares and warrants compared to last year as a result of the decrease of Gogoro stock price, and a $1.0 million decrease in gross profit due to lower revenue. The net loss was partially offset by an $8.0 million decrease in operating expenses, primarily consisted of (i) a $2.1 million decrease in share-based compensation, (ii) a $4.7 million decrease in expenses for sales and marketing programs mainly due to our efforts in increasing marketing efficiency, and (iii) a $1.0 million decrease in research and development expenses.</w:t>
      </w:r>
    </w:p>
    <w:p>
      <w:pPr>
        <w:pStyle w:val="TextBody"/>
        <w:bidi w:val="0"/>
        <w:spacing w:lineRule="auto" w:line="300"/>
        <w:ind w:left="0" w:right="0" w:hanging="108"/>
        <w:jc w:val="left"/>
        <w:rPr/>
      </w:pP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16"/>
        </w:rPr>
        <w:t xml:space="preserve">This is a non-IFRS measure, see </w:t>
      </w:r>
      <w:r>
        <w:rPr>
          <w:rFonts w:ascii="Times New Roman;sans-serif" w:hAnsi="Times New Roman;sans-serif"/>
          <w:b/>
          <w:color w:val="000000"/>
          <w:sz w:val="16"/>
        </w:rPr>
        <w:t>Use of Non-IFRS Financial Measures</w:t>
      </w:r>
      <w:r>
        <w:rPr>
          <w:color w:val="000000"/>
        </w:rPr>
        <w:t xml:space="preserve"> </w:t>
      </w:r>
      <w:r>
        <w:rPr>
          <w:rFonts w:ascii="Times New Roman;sans-serif" w:hAnsi="Times New Roman;sans-serif"/>
          <w:b w:val="false"/>
          <w:color w:val="000000"/>
          <w:sz w:val="16"/>
        </w:rPr>
        <w:t xml:space="preserve">for a description of the non-IFRS measures and </w:t>
      </w:r>
      <w:r>
        <w:rPr>
          <w:rFonts w:ascii="Times New Roman;sans-serif" w:hAnsi="Times New Roman;sans-serif"/>
          <w:b/>
          <w:color w:val="000000"/>
          <w:sz w:val="16"/>
        </w:rPr>
        <w:t>Reconciliation of IFRS Financial Metrics to Non-IFRS</w:t>
      </w:r>
      <w:r>
        <w:rPr>
          <w:color w:val="000000"/>
        </w:rPr>
        <w:t xml:space="preserve"> </w:t>
      </w:r>
      <w:r>
        <w:rPr>
          <w:rFonts w:ascii="Times New Roman;sans-serif" w:hAnsi="Times New Roman;sans-serif"/>
          <w:b w:val="false"/>
          <w:color w:val="000000"/>
          <w:sz w:val="16"/>
        </w:rPr>
        <w:t>for a reconciliation of the company’s non-IFRS financial measures to their most directly comparable IFRS measures.</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200"/>
        <w:jc w:val="left"/>
        <w:rPr>
          <w:rFonts w:ascii="Times New Roman;sans-serif" w:hAnsi="Times New Roman;sans-serif"/>
          <w:b/>
          <w:color w:val="000000"/>
          <w:sz w:val="22"/>
        </w:rPr>
      </w:pPr>
      <w:r>
        <w:rPr>
          <w:rFonts w:ascii="Times New Roman;sans-serif" w:hAnsi="Times New Roman;sans-serif"/>
          <w:b/>
          <w:color w:val="000000"/>
          <w:sz w:val="22"/>
        </w:rPr>
        <w:t>Adjusted EBITDA</w:t>
      </w:r>
    </w:p>
    <w:p>
      <w:pPr>
        <w:pStyle w:val="TextBody"/>
        <w:bidi w:val="0"/>
        <w:spacing w:lineRule="auto" w:line="316" w:before="0" w:after="0"/>
        <w:jc w:val="left"/>
        <w:rPr/>
      </w:pPr>
      <w:r>
        <w:rPr>
          <w:rFonts w:ascii="Times New Roman;sans-serif" w:hAnsi="Times New Roman;sans-serif"/>
          <w:b w:val="false"/>
          <w:color w:val="000000"/>
          <w:sz w:val="22"/>
        </w:rPr>
        <w:t>For the third quarter, adjusted EBITDA</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was $13.1 million, up from $9.2 million in the same quarter last year. The increase was primarily due to a $5.9 million decrease in operating expenses (excluding share-based compensation) as a result of various cost-saving initiatives. The increase was partially offset by a $2.9 million decrease in non-IFRS gross margin</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rPr>
        <w:t>due to lower revenue.</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Liquidity</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reduced operating cash outflow by $40.5 million compared to the same quarter last year by tightening our business operations and reducing working capital. We borrowed $72.8 million and paid back $63.4 million in bank loans in the third quarter to finance our investing activities. With a $151.5 million cash balance at the end of the third quarter and additional credit facilities, we believe we have sufficient sources of funding to meet our near-term business growth objectives. </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Updated 2023 Guidance</w:t>
      </w:r>
    </w:p>
    <w:p>
      <w:pPr>
        <w:pStyle w:val="TextBody"/>
        <w:bidi w:val="0"/>
        <w:spacing w:before="0" w:after="0"/>
        <w:jc w:val="left"/>
        <w:rPr/>
      </w:pPr>
      <w:r>
        <w:rPr/>
      </w:r>
    </w:p>
    <w:p>
      <w:pPr>
        <w:pStyle w:val="TextBody"/>
        <w:bidi w:val="0"/>
        <w:spacing w:lineRule="auto" w:line="316"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Based on the current market outlook, we are making no change to our estimated 2023 revenue guidance range of $340 million to $370 million. We also continue to estimate that Gogoro will generate approximately 95% of 2023 full-year revenue from the Taiwan market.</w:t>
      </w:r>
    </w:p>
    <w:p>
      <w:pPr>
        <w:pStyle w:val="TextBody"/>
        <w:bidi w:val="0"/>
        <w:spacing w:before="0" w:after="0"/>
        <w:jc w:val="left"/>
        <w:rPr/>
      </w:pPr>
      <w:r>
        <w:rPr/>
      </w:r>
    </w:p>
    <w:p>
      <w:pPr>
        <w:pStyle w:val="TextBody"/>
        <w:bidi w:val="0"/>
        <w:spacing w:lineRule="auto" w:line="240" w:before="2" w:after="1"/>
        <w:jc w:val="left"/>
        <w:rPr>
          <w:rFonts w:ascii="Times New Roman;sans-serif" w:hAnsi="Times New Roman;sans-serif"/>
          <w:b/>
          <w:color w:val="000000"/>
          <w:sz w:val="22"/>
          <w:shd w:fill="FEFFFF" w:val="clear"/>
        </w:rPr>
      </w:pPr>
      <w:r>
        <w:rPr>
          <w:rFonts w:ascii="Times New Roman;sans-serif" w:hAnsi="Times New Roman;sans-serif"/>
          <w:b/>
          <w:color w:val="000000"/>
          <w:sz w:val="22"/>
          <w:shd w:fill="FEFFFF" w:val="clear"/>
        </w:rPr>
        <w:t>Conference Call Information</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Gogoro's management team will hold an earnings Webcast on November 16th, 2023, at 7:00 a.m. Eastern Time to discuss the Company's third quarter 2023 results of operations and outlook.</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val="false"/>
          <w:color w:val="000000"/>
          <w:sz w:val="22"/>
        </w:rPr>
        <w:t>Investors may access the webcast, supplemental financial information and investor presentation at Gogoro’s investor relations websit</w:t>
      </w:r>
      <w:r>
        <w:rPr>
          <w:rFonts w:ascii="Times New Roman;sans-serif" w:hAnsi="Times New Roman;sans-serif"/>
          <w:b w:val="false"/>
          <w:color w:val="000000"/>
          <w:sz w:val="22"/>
          <w:shd w:fill="FFFFFF" w:val="clear"/>
        </w:rPr>
        <w:t>e</w:t>
      </w:r>
      <w:r>
        <w:rPr>
          <w:color w:val="0000FF"/>
          <w:shd w:fill="FFFFFF" w:val="clear"/>
        </w:rPr>
        <w:t xml:space="preserve"> </w:t>
      </w:r>
      <w:r>
        <w:rPr>
          <w:rFonts w:ascii="Times New Roman;sans-serif" w:hAnsi="Times New Roman;sans-serif"/>
          <w:b w:val="false"/>
          <w:color w:val="0000FF"/>
          <w:sz w:val="22"/>
          <w:shd w:fill="FFFFFF" w:val="clear"/>
        </w:rPr>
        <w:t>(https://investor.gogoro.com)</w:t>
      </w:r>
      <w:r>
        <w:rPr>
          <w:color w:val="000000"/>
        </w:rPr>
        <w:t xml:space="preserve"> </w:t>
      </w:r>
      <w:r>
        <w:rPr>
          <w:rFonts w:ascii="Times New Roman;sans-serif" w:hAnsi="Times New Roman;sans-serif"/>
          <w:b w:val="false"/>
          <w:color w:val="000000"/>
          <w:sz w:val="22"/>
        </w:rPr>
        <w:t>under the “Events” section. A replay of the investor presentation and the earnings call script will be available 24 hours after the conclusion of the webcast and archived for one year.</w:t>
      </w:r>
    </w:p>
    <w:p>
      <w:pPr>
        <w:pStyle w:val="TextBody"/>
        <w:bidi w:val="0"/>
        <w:spacing w:before="1" w:after="1"/>
        <w:jc w:val="left"/>
        <w:rPr/>
      </w:pPr>
      <w:r>
        <w:rPr/>
      </w:r>
    </w:p>
    <w:p>
      <w:pPr>
        <w:pStyle w:val="TextBody"/>
        <w:bidi w:val="0"/>
        <w:spacing w:lineRule="auto" w:line="240" w:before="2" w:after="1"/>
        <w:jc w:val="left"/>
        <w:rPr>
          <w:rFonts w:ascii="Times New Roman;sans-serif" w:hAnsi="Times New Roman;sans-serif"/>
          <w:b/>
          <w:color w:val="000000"/>
          <w:sz w:val="22"/>
          <w:shd w:fill="FEFFFF" w:val="clear"/>
        </w:rPr>
      </w:pPr>
      <w:r>
        <w:rPr>
          <w:rFonts w:ascii="Times New Roman;sans-serif" w:hAnsi="Times New Roman;sans-serif"/>
          <w:b/>
          <w:color w:val="000000"/>
          <w:sz w:val="22"/>
          <w:shd w:fill="FEFFFF" w:val="clear"/>
        </w:rPr>
        <w:t>About Gogoro</w:t>
      </w:r>
    </w:p>
    <w:p>
      <w:pPr>
        <w:pStyle w:val="TextBody"/>
        <w:bidi w:val="0"/>
        <w:spacing w:before="2" w:after="1"/>
        <w:jc w:val="left"/>
        <w:rPr/>
      </w:pPr>
      <w:r>
        <w:rPr/>
      </w:r>
    </w:p>
    <w:p>
      <w:pPr>
        <w:pStyle w:val="TextBody"/>
        <w:bidi w:val="0"/>
        <w:spacing w:lineRule="auto" w:line="268" w:before="0" w:after="0"/>
        <w:jc w:val="left"/>
        <w:rPr/>
      </w:pPr>
      <w:r>
        <w:rPr>
          <w:rFonts w:ascii="Times New Roman;sans-serif" w:hAnsi="Times New Roman;sans-serif"/>
          <w:b w:val="false"/>
          <w:color w:val="000000"/>
          <w:sz w:val="22"/>
          <w:shd w:fill="FFFFFF" w:val="clear"/>
        </w:rPr>
        <w:t xml:space="preserve">Founded in 2011 to rethink urban energy and inspire the world to move through cities in smarter and more sustainable ways, Gogoro leverages the power of innovation to change the way urban energy is distributed and consumed. Recognized and awarded by Frost &amp; Sullivan as the “2023 Global Company of the Year for battery swapping for electric two-wheel vehicles” </w:t>
      </w:r>
      <w:r>
        <w:rPr>
          <w:rFonts w:ascii="Times New Roman;sans-serif" w:hAnsi="Times New Roman;sans-serif"/>
          <w:b w:val="false"/>
          <w:color w:val="222222"/>
          <w:sz w:val="22"/>
          <w:shd w:fill="FFFFFF" w:val="clear"/>
        </w:rPr>
        <w:t>and MIT Technology Review as one of “15 Climate Tech Companies to Watch” in 2023</w:t>
      </w:r>
      <w:r>
        <w:rPr>
          <w:rFonts w:ascii="Times New Roman;sans-serif" w:hAnsi="Times New Roman;sans-serif"/>
          <w:b w:val="false"/>
          <w:color w:val="222222"/>
          <w:sz w:val="22"/>
        </w:rPr>
        <w:t xml:space="preserve">, </w:t>
      </w:r>
      <w:r>
        <w:rPr>
          <w:rFonts w:ascii="Times New Roman;sans-serif" w:hAnsi="Times New Roman;sans-serif"/>
          <w:b w:val="false"/>
          <w:color w:val="000000"/>
          <w:sz w:val="22"/>
          <w:shd w:fill="FFFFFF" w:val="clear"/>
        </w:rPr>
        <w:t>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availability and safety. The challenge is massive, but the opportunity to disrupt the status quo, establish new standards, and achieve new levels of sustainable transportation growth in densely populated cities is even greater. For more information, visit</w:t>
      </w:r>
      <w:r>
        <w:rPr>
          <w:color w:val="0000FF"/>
          <w:shd w:fill="FFFFFF" w:val="clear"/>
        </w:rPr>
        <w:t xml:space="preserve"> </w:t>
      </w:r>
      <w:r>
        <w:rPr>
          <w:rFonts w:ascii="Times New Roman;sans-serif" w:hAnsi="Times New Roman;sans-serif"/>
          <w:b w:val="false"/>
          <w:color w:val="0000FF"/>
          <w:sz w:val="22"/>
          <w:shd w:fill="FFFFFF" w:val="clear"/>
        </w:rPr>
        <w:t>https://www.gogoro.com/news</w:t>
      </w:r>
      <w:r>
        <w:rPr>
          <w:color w:val="000000"/>
          <w:shd w:fill="FFFFFF" w:val="clear"/>
        </w:rPr>
        <w:t xml:space="preserve"> </w:t>
      </w:r>
      <w:r>
        <w:rPr>
          <w:rFonts w:ascii="Times New Roman;sans-serif" w:hAnsi="Times New Roman;sans-serif"/>
          <w:b w:val="false"/>
          <w:color w:val="000000"/>
          <w:sz w:val="22"/>
          <w:shd w:fill="FFFFFF" w:val="clear"/>
        </w:rPr>
        <w:t xml:space="preserve">and follow Gogoro on Twitter: </w:t>
      </w:r>
      <w:r>
        <w:rPr>
          <w:rFonts w:ascii="Times New Roman;sans-serif" w:hAnsi="Times New Roman;sans-serif"/>
          <w:b w:val="false"/>
          <w:color w:val="0000FF"/>
          <w:sz w:val="22"/>
          <w:shd w:fill="FFFFFF" w:val="clear"/>
        </w:rPr>
        <w:t>@wearegogoro</w:t>
      </w:r>
      <w:r>
        <w:rPr>
          <w:rFonts w:ascii="Times New Roman;sans-serif" w:hAnsi="Times New Roman;sans-serif"/>
          <w:b w:val="false"/>
          <w:color w:val="000000"/>
          <w:sz w:val="22"/>
          <w:shd w:fill="FFFFFF" w:val="clear"/>
        </w:rPr>
        <w: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2"/>
          <w:shd w:fill="FEFFFF" w:val="clear"/>
        </w:rPr>
      </w:pPr>
      <w:r>
        <w:rPr>
          <w:rFonts w:ascii="Times New Roman;sans-serif" w:hAnsi="Times New Roman;sans-serif"/>
          <w:b/>
          <w:color w:val="000000"/>
          <w:sz w:val="22"/>
          <w:shd w:fill="FEFFFF" w:val="clear"/>
        </w:rPr>
        <w:t>Forward-Looking Statements</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This communication contains forward-looking statements within the meaning of Section 27A of the Securities Act of 1933, as amended, and Section 21E of the Securities Exchange Act of 1934, as amended. Forward-looking statements generally relate to future events or Gogoro's future financial or operating performance. In some cases, you can identify forward-looking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statements in the section entitled, "Updated 2023 Guidance," such as estimates regarding revenue and Gogoro's revenue generated from the Taiwan market, and statements by Gogoro's founder, chairman, and chief executive officer and Gogoro's chief financial officer, such as projections of market opportunity and market share, the strategic cooperation and investments in India and the Philippines, the capability of Gogoro’s technology, and Gogoro’s business plans including its plans to grow and expand in Taiwan and internationally, pricing strategies, expectation regarding the expansion of product portfolio and expectation regarding continuous investment in research and development, network infrastructure and its international production capacity.</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val="false"/>
          <w:color w:val="000000"/>
          <w:sz w:val="22"/>
        </w:rPr>
        <w:t>Gogoro’s expectations and beliefs regarding these matters may not materialize, and actual results in future periods are subject to risks and uncertainties that could cause actual results to differ materially from those projected, including risks related to the impact of the COVID-19 pandemic, risks related to macroeconomic factors including inflation and consumer confidence, risks related to the Taiwan scooter market,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operating in the PRC, regulatory risks and Gogoro’s risks related to strategic collaborations, risks related to the Taiwan market, China market, India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the ability of Gogoro to be successful in the B2B market, risks related to Gogoro's ability to achieve operational efficiencies, Gogoro's ability to raise additional capital, the risks related to the need for Gogoro to invest more capital in strategic collaborations, alliances or joint ventures, risks relating to the impact of foreign exchange and the risk of Gogoro having to update the accounting treatment for its joint ventures. The forward looking statements contained in this communication are also subject to other risks and uncertainties, including those more fully described in Gogoro's filings with the Securities and Exchange Commission (“SEC”), including in Gogoro’s Form 20-F for the year ended December 31, 2022, which was filed on March 31, 2023 and in its subsequent filings with the SEC, copies of which are available on the SEC's website a</w:t>
      </w:r>
      <w:r>
        <w:rPr>
          <w:rFonts w:ascii="Times New Roman;sans-serif" w:hAnsi="Times New Roman;sans-serif"/>
          <w:b w:val="false"/>
          <w:color w:val="000000"/>
          <w:sz w:val="22"/>
          <w:shd w:fill="FFFFFF" w:val="clear"/>
        </w:rPr>
        <w:t>t</w:t>
      </w:r>
      <w:r>
        <w:rPr>
          <w:color w:val="0000FF"/>
          <w:shd w:fill="FFFFFF" w:val="clear"/>
        </w:rPr>
        <w:t xml:space="preserve"> </w:t>
      </w:r>
      <w:r>
        <w:rPr>
          <w:rFonts w:ascii="Times New Roman;sans-serif" w:hAnsi="Times New Roman;sans-serif"/>
          <w:b w:val="false"/>
          <w:color w:val="0000FF"/>
          <w:sz w:val="22"/>
          <w:shd w:fill="FFFFFF" w:val="clear"/>
        </w:rPr>
        <w:t>www.sec.gov</w:t>
      </w:r>
      <w:r>
        <w:rPr>
          <w:rFonts w:ascii="Times New Roman;sans-serif" w:hAnsi="Times New Roman;sans-serif"/>
          <w:b w:val="false"/>
          <w:color w:val="000000"/>
          <w:sz w:val="22"/>
        </w:rPr>
        <w:t>. The forward-looking statements in this communication are based on information available to Gogoro as of the date hereof, and Gogoro disclaims any obligation to update any forward-looking statements, except as required by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19" w:before="0" w:after="0"/>
        <w:jc w:val="left"/>
        <w:rPr>
          <w:rFonts w:ascii="Times New Roman;sans-serif" w:hAnsi="Times New Roman;sans-serif"/>
          <w:b/>
          <w:color w:val="000000"/>
          <w:sz w:val="22"/>
        </w:rPr>
      </w:pPr>
      <w:r>
        <w:rPr>
          <w:rFonts w:ascii="Times New Roman;sans-serif" w:hAnsi="Times New Roman;sans-serif"/>
          <w:b/>
          <w:color w:val="000000"/>
          <w:sz w:val="22"/>
        </w:rPr>
        <w:t xml:space="preserve">Use of Non-IFRS Financial Measures </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This press release and accompanying tables contain certain non-International Financial Reporting Standards (collectively, “IFRS”) financial measures as issued by the International Accounting Standards Board including foreign exchange effect on operating revenues, non-IFRS gross profit, non-IFRS gross margin, Non-IFRS Net Loss, EBITDA and Adjusted EBITDA. </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Foreign exchange ("FX") effect on operating revenues. </w:t>
      </w:r>
      <w:r>
        <w:rPr>
          <w:rFonts w:ascii="Times New Roman;sans-serif" w:hAnsi="Times New Roman;sans-serif"/>
          <w:b w:val="false"/>
          <w:color w:val="000000"/>
          <w:sz w:val="22"/>
        </w:rPr>
        <w:t xml:space="preserve">We compare the dollar amount and the percent change in the operating revenues from the period to the same period last year using constant currency disclosure. We present constant currency information to provide a framework for assessing how our underlying revenues performed excluding the effect of foreign currency rate fluctuations. To present this information, current period operating revenues for entities reporting in currencies other than USD are converted into USD at the average exchange rates from the equivalent periods last year. </w:t>
      </w:r>
    </w:p>
    <w:p>
      <w:pPr>
        <w:pStyle w:val="TextBody"/>
        <w:bidi w:val="0"/>
        <w:spacing w:before="0" w:after="0"/>
        <w:ind w:left="0" w:right="0" w:hanging="90"/>
        <w:jc w:val="left"/>
        <w:rPr/>
      </w:pPr>
      <w:r>
        <w:rPr/>
      </w:r>
    </w:p>
    <w:p>
      <w:pPr>
        <w:pStyle w:val="TextBody"/>
        <w:bidi w:val="0"/>
        <w:spacing w:lineRule="auto" w:line="316" w:before="0" w:after="0"/>
        <w:jc w:val="left"/>
        <w:rPr/>
      </w:pPr>
      <w:r>
        <w:rPr>
          <w:rFonts w:ascii="Times New Roman;sans-serif" w:hAnsi="Times New Roman;sans-serif"/>
          <w:b/>
          <w:color w:val="000000"/>
          <w:sz w:val="22"/>
        </w:rPr>
        <w:t>Non-IFRS</w:t>
      </w:r>
      <w:r>
        <w:rPr>
          <w:color w:val="000000"/>
        </w:rPr>
        <w:t xml:space="preserve"> </w:t>
      </w:r>
      <w:r>
        <w:rPr>
          <w:rFonts w:ascii="Times New Roman;sans-serif" w:hAnsi="Times New Roman;sans-serif"/>
          <w:b/>
          <w:color w:val="000000"/>
          <w:sz w:val="22"/>
        </w:rPr>
        <w:t xml:space="preserve">Gross Profit and Gross Margin. </w:t>
      </w:r>
      <w:r>
        <w:rPr>
          <w:rFonts w:ascii="Times New Roman;sans-serif" w:hAnsi="Times New Roman;sans-serif"/>
          <w:b w:val="false"/>
          <w:color w:val="000000"/>
          <w:sz w:val="22"/>
        </w:rPr>
        <w:t xml:space="preserve">Gogoro defines non-IFRS gross profit and gross margin as gross profit, gross margin excluding share-based compensation, and exit activities. </w:t>
      </w:r>
    </w:p>
    <w:p>
      <w:pPr>
        <w:pStyle w:val="TextBody"/>
        <w:bidi w:val="0"/>
        <w:spacing w:before="0" w:after="0"/>
        <w:jc w:val="left"/>
        <w:rPr/>
      </w:pPr>
      <w:r>
        <w:rPr/>
      </w:r>
    </w:p>
    <w:p>
      <w:pPr>
        <w:pStyle w:val="TextBody"/>
        <w:bidi w:val="0"/>
        <w:spacing w:lineRule="auto" w:line="316" w:before="0" w:after="200"/>
        <w:jc w:val="left"/>
        <w:rPr/>
      </w:pPr>
      <w:r>
        <w:rPr>
          <w:rFonts w:ascii="Times New Roman;sans-serif" w:hAnsi="Times New Roman;sans-serif"/>
          <w:b/>
          <w:color w:val="000000"/>
          <w:sz w:val="22"/>
        </w:rPr>
        <w:t>Share-based Compensation.</w:t>
      </w:r>
      <w:r>
        <w:rPr>
          <w:color w:val="000000"/>
        </w:rPr>
        <w:t> </w:t>
      </w:r>
      <w:r>
        <w:rPr>
          <w:rFonts w:ascii="Times New Roman;sans-serif" w:hAnsi="Times New Roman;sans-serif"/>
          <w:b w:val="false"/>
          <w:color w:val="000000"/>
          <w:sz w:val="22"/>
        </w:rPr>
        <w:t>Share-based compensation consists of non-cash charges related to the fair value of restricted stock units awarded to employees. We believe that the exclusion of these non-cash charges provides for more accurate comparisons of our operating results to our peer companies due to the varying available valuation methodologies, subjective assumptions and the variety of award types. In addition, we believe it is useful to investors to understand the specific impact of share-based compensation on our operating results.</w:t>
      </w:r>
    </w:p>
    <w:p>
      <w:pPr>
        <w:pStyle w:val="TextBody"/>
        <w:bidi w:val="0"/>
        <w:spacing w:lineRule="auto" w:line="316" w:before="0" w:after="0"/>
        <w:jc w:val="left"/>
        <w:rPr/>
      </w:pPr>
      <w:r>
        <w:rPr>
          <w:rFonts w:ascii="Times New Roman;sans-serif" w:hAnsi="Times New Roman;sans-serif"/>
          <w:b/>
          <w:color w:val="000000"/>
          <w:sz w:val="22"/>
        </w:rPr>
        <w:t>Non-IFRS Net Loss.</w:t>
      </w:r>
      <w:r>
        <w:rPr>
          <w:color w:val="000000"/>
        </w:rPr>
        <w:t xml:space="preserve"> </w:t>
      </w:r>
      <w:r>
        <w:rPr>
          <w:rFonts w:ascii="Times New Roman;sans-serif" w:hAnsi="Times New Roman;sans-serif"/>
          <w:b w:val="false"/>
          <w:color w:val="000000"/>
          <w:sz w:val="22"/>
        </w:rPr>
        <w:t>Gogoro defines non-IFRS net loss as net (loss) income excluding share-based compensation, the change in fair value of financial liabilities including revaluation of redeemable preferred shares, change in fair value of earnout, earn-in and warrants associated with the merger of Poema, listing expenses and one-time non-recurring costs associated with the merger.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EBITDA. </w:t>
      </w:r>
      <w:r>
        <w:rPr>
          <w:rFonts w:ascii="Times New Roman;sans-serif" w:hAnsi="Times New Roman;sans-serif"/>
          <w:b w:val="false"/>
          <w:color w:val="000000"/>
          <w:sz w:val="22"/>
        </w:rPr>
        <w:t>Gogoro defines EBITDA as net (loss) income excluding interest expense, net, provision for income tax, depreciation, and amortization. These amounts do not reflect the impact of any related tax effects.</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Adjusted EBITDA.</w:t>
      </w:r>
      <w:r>
        <w:rPr>
          <w:color w:val="000000"/>
        </w:rPr>
        <w:t xml:space="preserve"> </w:t>
      </w:r>
      <w:r>
        <w:rPr>
          <w:rFonts w:ascii="Times New Roman;sans-serif" w:hAnsi="Times New Roman;sans-serif"/>
          <w:b w:val="false"/>
          <w:color w:val="000000"/>
          <w:sz w:val="22"/>
        </w:rPr>
        <w:t>Gogoro defines Adjusted EBITDA, as EBITDA excluding share-based compensation, the change in fair value of financial liabilities including revaluation of redeemable preferred shares, change in fair value of earnout, earn-in and warrants associated with the merger of Poema, and one-time non-recurring costs associated with the merger. These amounts do not reflect the impact of any related tax effects.</w:t>
      </w:r>
    </w:p>
    <w:p>
      <w:pPr>
        <w:pStyle w:val="TextBody"/>
        <w:bidi w:val="0"/>
        <w:spacing w:before="0" w:after="0"/>
        <w:jc w:val="left"/>
        <w:rPr/>
      </w:pPr>
      <w:r>
        <w:rPr/>
      </w:r>
    </w:p>
    <w:p>
      <w:pPr>
        <w:pStyle w:val="TextBody"/>
        <w:bidi w:val="0"/>
        <w:spacing w:lineRule="auto" w:line="316"/>
        <w:jc w:val="left"/>
        <w:rPr/>
      </w:pPr>
      <w:r>
        <w:rPr>
          <w:rFonts w:ascii="Times New Roman;sans-serif" w:hAnsi="Times New Roman;sans-serif"/>
          <w:b/>
          <w:color w:val="000000"/>
          <w:sz w:val="22"/>
        </w:rPr>
        <w:t>Acquisition-related Expenses.</w:t>
      </w:r>
      <w:r>
        <w:rPr>
          <w:color w:val="000000"/>
        </w:rPr>
        <w:t xml:space="preserve"> </w:t>
      </w:r>
      <w:r>
        <w:rPr>
          <w:rFonts w:ascii="Times New Roman;sans-serif" w:hAnsi="Times New Roman;sans-serif"/>
          <w:b w:val="false"/>
          <w:color w:val="000000"/>
          <w:sz w:val="22"/>
        </w:rPr>
        <w:t xml:space="preserve">Gogoro incurs acquisition-related and other expenses which consist of costs incurred after the issuance of a definitive term sheet for a particular transaction and include legal, banker, accounting, printer costs, valuation and other advisory fees. Management excludes these items for the purposes of calculating non-IFRS adjusted EBITDA. Gogoro generally would not have otherwise incurred such expenses in the periods presented as part of its continuing operations. The acquisition-related expenses are not recurring with respect to past transactions, can be inconsistent in amount and </w:t>
      </w: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frequency from period to period and are significantly impacted by the timing and magnitude of Gogoro’s acquisitions. While these expenses are not recurring with respect to past transactions, Gogoro generally will incur these expenses in connection with any future acquisitions.</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Listing Expense.</w:t>
      </w:r>
      <w:r>
        <w:rPr>
          <w:color w:val="000000"/>
        </w:rPr>
        <w:t xml:space="preserve"> </w:t>
      </w:r>
      <w:r>
        <w:rPr>
          <w:rFonts w:ascii="Times New Roman;sans-serif" w:hAnsi="Times New Roman;sans-serif"/>
          <w:b w:val="false"/>
          <w:color w:val="000000"/>
          <w:sz w:val="22"/>
        </w:rPr>
        <w:t xml:space="preserve">In connection with the merger with Poema, the excess fair value of shares issued by Gogoro in exchange for the net assets of Poema was recorded as listing expense in operating expense. The listing expense for the merger is not recurring with respect to past transactions, can be inconsistent in amount and frequency from period to period and is significantly impacted by the timing and magnitude of the merger. </w:t>
      </w:r>
    </w:p>
    <w:p>
      <w:pPr>
        <w:pStyle w:val="TextBody"/>
        <w:bidi w:val="0"/>
        <w:spacing w:before="0" w:after="0"/>
        <w:jc w:val="left"/>
        <w:rPr/>
      </w:pPr>
      <w:r>
        <w:rPr/>
      </w:r>
    </w:p>
    <w:p>
      <w:pPr>
        <w:pStyle w:val="TextBody"/>
        <w:bidi w:val="0"/>
        <w:spacing w:lineRule="auto" w:line="316" w:before="0" w:after="0"/>
        <w:jc w:val="left"/>
        <w:rPr/>
      </w:pPr>
      <w:r>
        <w:rPr>
          <w:rFonts w:ascii="Times New Roman;sans-serif" w:hAnsi="Times New Roman;sans-serif"/>
          <w:b/>
          <w:color w:val="000000"/>
          <w:sz w:val="22"/>
        </w:rPr>
        <w:t xml:space="preserve">Exit Activities. </w:t>
      </w:r>
      <w:r>
        <w:rPr>
          <w:rFonts w:ascii="Times New Roman;sans-serif" w:hAnsi="Times New Roman;sans-serif"/>
          <w:b w:val="false"/>
          <w:color w:val="000000"/>
          <w:sz w:val="22"/>
        </w:rPr>
        <w:t>We have incurred charges including the exit of certain product lines as well as other non-recurring activities. These charges are not representative of ongoing costs to the business and are not expected to recur. As a result, these charges are being excluded to provide investors with a more comparable measure of costs associated with ongoing operations.</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These non-IFRS financial measures exclude share-based compensation, interest expense, income tax, depreciation and amortization, change in fair value of financial liabilities including revaluation of redeemable preferred shares, change in fair value of earnout shares, earn-in shares and warrants associated with the merger of Poema, listing expense and one-time non-recurring costs associated with the merger.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pStyle w:val="TextBody"/>
        <w:bidi w:val="0"/>
        <w:spacing w:before="0" w:after="0"/>
        <w:jc w:val="left"/>
        <w:rPr/>
      </w:pPr>
      <w:r>
        <w:rPr/>
      </w:r>
    </w:p>
    <w:p>
      <w:pPr>
        <w:pStyle w:val="TextBody"/>
        <w:bidi w:val="0"/>
        <w:spacing w:lineRule="auto" w:line="316"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Non-IFRS financial measures are not meant to be considered in isolation or as a substitute for comparable IFRS financial measures. Non-IFRS financial measures are subject to limitations and should be read only in conjunction with the Company's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tbl>
      <w:tblPr>
        <w:tblW w:w="5743" w:type="dxa"/>
        <w:jc w:val="left"/>
        <w:tblInd w:w="0" w:type="dxa"/>
        <w:tblLayout w:type="fixed"/>
        <w:tblCellMar>
          <w:top w:w="28" w:type="dxa"/>
          <w:left w:w="28" w:type="dxa"/>
          <w:bottom w:w="28" w:type="dxa"/>
          <w:right w:w="28" w:type="dxa"/>
        </w:tblCellMar>
      </w:tblPr>
      <w:tblGrid>
        <w:gridCol w:w="977"/>
        <w:gridCol w:w="860"/>
        <w:gridCol w:w="864"/>
        <w:gridCol w:w="109"/>
        <w:gridCol w:w="109"/>
        <w:gridCol w:w="109"/>
        <w:gridCol w:w="793"/>
        <w:gridCol w:w="793"/>
        <w:gridCol w:w="1129"/>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color w:val="000000"/>
                <w:sz w:val="22"/>
              </w:rPr>
            </w:pPr>
            <w:r>
              <w:rPr>
                <w:rFonts w:ascii="Times New Roman;sans-serif" w:hAnsi="Times New Roman;sans-serif"/>
                <w:b/>
                <w:color w:val="000000"/>
                <w:sz w:val="22"/>
              </w:rPr>
              <w:t>Gogoro Media Contact: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color w:val="000000"/>
                <w:sz w:val="22"/>
              </w:rPr>
            </w:pPr>
            <w:r>
              <w:rPr>
                <w:rFonts w:ascii="Times New Roman;sans-serif" w:hAnsi="Times New Roman;sans-serif"/>
                <w:b/>
                <w:color w:val="000000"/>
                <w:sz w:val="22"/>
              </w:rPr>
              <w:t>Gogoro Investor Contact:</w:t>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80" w:after="1"/>
              <w:jc w:val="left"/>
              <w:rPr>
                <w:rFonts w:ascii="Times New Roman;sans-serif" w:hAnsi="Times New Roman;sans-serif"/>
                <w:b w:val="false"/>
                <w:color w:val="000000"/>
                <w:sz w:val="22"/>
              </w:rPr>
            </w:pPr>
            <w:r>
              <w:rPr>
                <w:rFonts w:ascii="Times New Roman;sans-serif" w:hAnsi="Times New Roman;sans-serif"/>
                <w:b w:val="false"/>
                <w:color w:val="000000"/>
                <w:sz w:val="22"/>
              </w:rPr>
              <w:t>Jason Gordon, Gogoro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1"/>
              <w:jc w:val="left"/>
              <w:rPr>
                <w:rFonts w:ascii="Times New Roman;sans-serif" w:hAnsi="Times New Roman;sans-serif"/>
                <w:b w:val="false"/>
                <w:color w:val="000000"/>
                <w:sz w:val="22"/>
              </w:rPr>
            </w:pPr>
            <w:r>
              <w:rPr>
                <w:rFonts w:ascii="Times New Roman;sans-serif" w:hAnsi="Times New Roman;sans-serif"/>
                <w:b w:val="false"/>
                <w:color w:val="000000"/>
                <w:sz w:val="22"/>
              </w:rPr>
              <w:t>Michael Bowen, ICR, LLC.</w:t>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+1 (206) 778-7245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gogoroIR@icrinc.com</w:t>
            </w:r>
          </w:p>
        </w:tc>
      </w:tr>
      <w:tr>
        <w:trPr/>
        <w:tc>
          <w:tcPr>
            <w:tcW w:w="2701"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jason.gordon@gogoro.com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8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ir@gogoro.com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p>
      <w:pPr>
        <w:pStyle w:val="TextBody"/>
        <w:bidi w:val="0"/>
        <w:spacing w:before="0" w:after="0"/>
        <w:jc w:val="center"/>
        <w:rPr/>
      </w:pPr>
      <w:r>
        <w:rPr/>
      </w:r>
    </w:p>
    <w:tbl>
      <w:tblPr>
        <w:tblW w:w="6027" w:type="dxa"/>
        <w:jc w:val="center"/>
        <w:tblInd w:w="0" w:type="dxa"/>
        <w:tblLayout w:type="fixed"/>
        <w:tblCellMar>
          <w:top w:w="28" w:type="dxa"/>
          <w:left w:w="28" w:type="dxa"/>
          <w:bottom w:w="28" w:type="dxa"/>
          <w:right w:w="28" w:type="dxa"/>
        </w:tblCellMar>
      </w:tblPr>
      <w:tblGrid>
        <w:gridCol w:w="1202"/>
        <w:gridCol w:w="1054"/>
        <w:gridCol w:w="1059"/>
        <w:gridCol w:w="226"/>
        <w:gridCol w:w="849"/>
        <w:gridCol w:w="125"/>
        <w:gridCol w:w="109"/>
        <w:gridCol w:w="109"/>
        <w:gridCol w:w="109"/>
        <w:gridCol w:w="214"/>
        <w:gridCol w:w="803"/>
        <w:gridCol w:w="168"/>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151,546 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236,100 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current</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20,288 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30,961 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305,905 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397,905 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417,421 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442,969 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investment</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 non-current</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798,160 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873,423 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current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66,501 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Financial liabilities at fair value</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30,717 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46,949 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and trade payables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16,829 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12,965 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current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product warranty, current</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current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203,636 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248,166 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non-current</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297,380 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293,192 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product warranty, non-current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non-current</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 non-current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18,453 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537,558 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574,449 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260,602 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298,974 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798,160 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873,423 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4302" w:type="dxa"/>
        <w:jc w:val="center"/>
        <w:tblInd w:w="0" w:type="dxa"/>
        <w:tblLayout w:type="fixed"/>
        <w:tblCellMar>
          <w:top w:w="28" w:type="dxa"/>
          <w:left w:w="28" w:type="dxa"/>
          <w:bottom w:w="28" w:type="dxa"/>
          <w:right w:w="28" w:type="dxa"/>
        </w:tblCellMar>
      </w:tblPr>
      <w:tblGrid>
        <w:gridCol w:w="575"/>
        <w:gridCol w:w="506"/>
        <w:gridCol w:w="509"/>
        <w:gridCol w:w="226"/>
        <w:gridCol w:w="849"/>
        <w:gridCol w:w="125"/>
        <w:gridCol w:w="109"/>
        <w:gridCol w:w="109"/>
        <w:gridCol w:w="109"/>
        <w:gridCol w:w="214"/>
        <w:gridCol w:w="803"/>
        <w:gridCol w:w="168"/>
      </w:tblGrid>
      <w:tr>
        <w:trPr/>
        <w:tc>
          <w:tcPr>
            <w:tcW w:w="57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Inventories: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76,740 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Semi-finished goods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Merchandise</w:t>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33,518 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114,024 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114,701 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w:t>
      </w:r>
    </w:p>
    <w:p>
      <w:pPr>
        <w:pStyle w:val="TextBody"/>
        <w:bidi w:val="0"/>
        <w:spacing w:lineRule="auto" w:line="319"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unaudited)</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 except net income (loss) per share)</w:t>
      </w:r>
    </w:p>
    <w:p>
      <w:pPr>
        <w:pStyle w:val="TextBody"/>
        <w:bidi w:val="0"/>
        <w:spacing w:before="0" w:after="0"/>
        <w:jc w:val="center"/>
        <w:rPr/>
      </w:pPr>
      <w:r>
        <w:rPr/>
      </w:r>
    </w:p>
    <w:tbl>
      <w:tblPr>
        <w:tblW w:w="10102" w:type="dxa"/>
        <w:jc w:val="center"/>
        <w:tblInd w:w="0" w:type="dxa"/>
        <w:tblLayout w:type="fixed"/>
        <w:tblCellMar>
          <w:top w:w="28" w:type="dxa"/>
          <w:left w:w="28" w:type="dxa"/>
          <w:bottom w:w="28" w:type="dxa"/>
          <w:right w:w="28" w:type="dxa"/>
        </w:tblCellMar>
      </w:tblPr>
      <w:tblGrid>
        <w:gridCol w:w="1615"/>
        <w:gridCol w:w="1417"/>
        <w:gridCol w:w="1422"/>
        <w:gridCol w:w="219"/>
        <w:gridCol w:w="809"/>
        <w:gridCol w:w="122"/>
        <w:gridCol w:w="122"/>
        <w:gridCol w:w="122"/>
        <w:gridCol w:w="122"/>
        <w:gridCol w:w="219"/>
        <w:gridCol w:w="826"/>
        <w:gridCol w:w="122"/>
        <w:gridCol w:w="109"/>
        <w:gridCol w:w="109"/>
        <w:gridCol w:w="109"/>
        <w:gridCol w:w="204"/>
        <w:gridCol w:w="770"/>
        <w:gridCol w:w="113"/>
        <w:gridCol w:w="113"/>
        <w:gridCol w:w="113"/>
        <w:gridCol w:w="113"/>
        <w:gridCol w:w="204"/>
        <w:gridCol w:w="848"/>
        <w:gridCol w:w="160"/>
      </w:tblGrid>
      <w:tr>
        <w:trPr/>
        <w:tc>
          <w:tcPr>
            <w:tcW w:w="161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258,316 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287,360 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74,967 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84,373 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217,972 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243,977 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16,783 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17,809 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40,344 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Sales and marketing </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35,413 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56,294 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Listing expense</w:t>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178,804 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(19,924)</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(26,879)</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(62,421)</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(270,797)</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Non-operating income and expenses:</w:t>
            </w:r>
          </w:p>
        </w:tc>
        <w:tc>
          <w:tcPr>
            <w:tcW w:w="11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liabilities</w:t>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19,142 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85,755 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189,560 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investment under equity method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non-operating income</w:t>
            </w:r>
          </w:p>
        </w:tc>
        <w:tc>
          <w:tcPr>
            <w:tcW w:w="10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16,836 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83,272 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13,089 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184,421 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(3,088)</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(49,332)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(86,376)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Exchange differences on translation</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 income</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(10,946)</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45,281 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(60,623)</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(110,188)</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income per share</w:t>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(0.21)</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(0.39)</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basic and diluted net loss per share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232,935 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231,989 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232,650 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1150"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hardware and others</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58,147 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71,754 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159,111 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197,131 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Battery swapping service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90,229 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revenues</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91,750 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102,182 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258,316 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287,360 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revenues</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1,003 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2,921 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0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10,535 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9,027 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11,353 </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22,325 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26,734 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p>
      <w:pPr>
        <w:pStyle w:val="TextBody"/>
        <w:bidi w:val="0"/>
        <w:spacing w:before="0" w:after="0"/>
        <w:jc w:val="center"/>
        <w:rPr/>
      </w:pPr>
      <w:r>
        <w:rPr/>
      </w:r>
    </w:p>
    <w:tbl>
      <w:tblPr>
        <w:tblW w:w="7285" w:type="dxa"/>
        <w:jc w:val="left"/>
        <w:tblInd w:w="0" w:type="dxa"/>
        <w:tblLayout w:type="fixed"/>
        <w:tblCellMar>
          <w:top w:w="28" w:type="dxa"/>
          <w:left w:w="28" w:type="dxa"/>
          <w:bottom w:w="28" w:type="dxa"/>
          <w:right w:w="28" w:type="dxa"/>
        </w:tblCellMar>
      </w:tblPr>
      <w:tblGrid>
        <w:gridCol w:w="1608"/>
        <w:gridCol w:w="1410"/>
        <w:gridCol w:w="1421"/>
        <w:gridCol w:w="227"/>
        <w:gridCol w:w="855"/>
        <w:gridCol w:w="126"/>
        <w:gridCol w:w="126"/>
        <w:gridCol w:w="126"/>
        <w:gridCol w:w="126"/>
        <w:gridCol w:w="227"/>
        <w:gridCol w:w="855"/>
        <w:gridCol w:w="178"/>
      </w:tblGrid>
      <w:tr>
        <w:trPr/>
        <w:tc>
          <w:tcPr>
            <w:tcW w:w="1608"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2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(49,332)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(86,376)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for:</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73,293 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72,976 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credit loss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investment under equity method</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financial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(189,560)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26,734 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property and equipment,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Write-down of inventories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listing expense</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178,804 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2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(46,193)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Notes and trade payables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 for product warranty</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(4,541)</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provided by (used in) operations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(61,283)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paid, net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31,490 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(69,132)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property, plant and equipment,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(78,650)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(102,239)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purchase of equity investment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(18,900)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(Increase) decrease in other financial assets </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(98,155)</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(79,292)</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2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borrowings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107,949 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133,177 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borrowings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(107,733)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(155,432)</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 from issuance of shares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326,965 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financial liabilities at fair value</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Guarantee deposits (refund) received</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the principal portion of lease liabilities</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(9,322)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(9,210)</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187,348 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(8,679)</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(7,276)</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(84,554)</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31,648 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the beginning of the period</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236,100 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217,429 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the end of the period</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151,546 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249,077 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Changes in Equity</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31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bl>
      <w:tblPr>
        <w:tblW w:w="10205" w:type="dxa"/>
        <w:jc w:val="center"/>
        <w:tblInd w:w="0" w:type="dxa"/>
        <w:tblLayout w:type="fixed"/>
        <w:tblCellMar>
          <w:top w:w="28" w:type="dxa"/>
          <w:left w:w="28" w:type="dxa"/>
          <w:bottom w:w="28" w:type="dxa"/>
          <w:right w:w="28" w:type="dxa"/>
        </w:tblCellMar>
      </w:tblPr>
      <w:tblGrid>
        <w:gridCol w:w="1128"/>
        <w:gridCol w:w="818"/>
        <w:gridCol w:w="821"/>
        <w:gridCol w:w="308"/>
        <w:gridCol w:w="521"/>
        <w:gridCol w:w="172"/>
        <w:gridCol w:w="109"/>
        <w:gridCol w:w="109"/>
        <w:gridCol w:w="109"/>
        <w:gridCol w:w="209"/>
        <w:gridCol w:w="788"/>
        <w:gridCol w:w="116"/>
        <w:gridCol w:w="109"/>
        <w:gridCol w:w="109"/>
        <w:gridCol w:w="109"/>
        <w:gridCol w:w="231"/>
        <w:gridCol w:w="922"/>
        <w:gridCol w:w="128"/>
        <w:gridCol w:w="109"/>
        <w:gridCol w:w="109"/>
        <w:gridCol w:w="109"/>
        <w:gridCol w:w="362"/>
        <w:gridCol w:w="1074"/>
        <w:gridCol w:w="204"/>
        <w:gridCol w:w="109"/>
        <w:gridCol w:w="109"/>
        <w:gridCol w:w="109"/>
        <w:gridCol w:w="196"/>
        <w:gridCol w:w="736"/>
        <w:gridCol w:w="163"/>
      </w:tblGrid>
      <w:tr>
        <w:trPr/>
        <w:tc>
          <w:tcPr>
            <w:tcW w:w="112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Capital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Deficits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Exchange Difference on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643,470 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(349,940)</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5,420 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298,974 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 for the nine months ended September 30, 2023</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(49,332)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(49,332)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for the nine months ended September 30, 2023</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(11,291)</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(11,291)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ordinary shares</w:t>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Shared-based compensation</w:t>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22,172 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22,172 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September 30, 2023</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665,721 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(399,272)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(5,871)</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260,602 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pPr>
      <w:r>
        <w:rPr>
          <w:color w:val="000000"/>
        </w:rPr>
        <w:t>                        </w:t>
      </w:r>
      <w:r>
        <w:rPr>
          <w:rFonts w:ascii="Times New Roman;sans-serif" w:hAnsi="Times New Roman;sans-serif"/>
          <w:b/>
          <w:color w:val="000000"/>
          <w:sz w:val="22"/>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353.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GOGORO INC.</w:t>
      </w:r>
    </w:p>
    <w:p>
      <w:pPr>
        <w:pStyle w:val="TextBody"/>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Reconciliation of IFRS Financial Metrics to Non-IFRS</w:t>
      </w:r>
    </w:p>
    <w:p>
      <w:pPr>
        <w:pStyle w:val="TextBody"/>
        <w:bidi w:val="0"/>
        <w:spacing w:lineRule="auto" w:line="25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59"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of U.S. dollars)</w:t>
      </w:r>
    </w:p>
    <w:tbl>
      <w:tblPr>
        <w:tblW w:w="10205" w:type="dxa"/>
        <w:jc w:val="center"/>
        <w:tblInd w:w="0" w:type="dxa"/>
        <w:tblLayout w:type="fixed"/>
        <w:tblCellMar>
          <w:top w:w="28" w:type="dxa"/>
          <w:left w:w="28" w:type="dxa"/>
          <w:bottom w:w="28" w:type="dxa"/>
          <w:right w:w="28" w:type="dxa"/>
        </w:tblCellMar>
      </w:tblPr>
      <w:tblGrid>
        <w:gridCol w:w="434"/>
        <w:gridCol w:w="381"/>
        <w:gridCol w:w="383"/>
        <w:gridCol w:w="198"/>
        <w:gridCol w:w="747"/>
        <w:gridCol w:w="110"/>
        <w:gridCol w:w="109"/>
        <w:gridCol w:w="109"/>
        <w:gridCol w:w="109"/>
        <w:gridCol w:w="196"/>
        <w:gridCol w:w="646"/>
        <w:gridCol w:w="109"/>
        <w:gridCol w:w="109"/>
        <w:gridCol w:w="109"/>
        <w:gridCol w:w="109"/>
        <w:gridCol w:w="259"/>
        <w:gridCol w:w="974"/>
        <w:gridCol w:w="144"/>
        <w:gridCol w:w="109"/>
        <w:gridCol w:w="109"/>
        <w:gridCol w:w="109"/>
        <w:gridCol w:w="198"/>
        <w:gridCol w:w="747"/>
        <w:gridCol w:w="110"/>
        <w:gridCol w:w="109"/>
        <w:gridCol w:w="109"/>
        <w:gridCol w:w="109"/>
        <w:gridCol w:w="382"/>
        <w:gridCol w:w="269"/>
        <w:gridCol w:w="600"/>
        <w:gridCol w:w="109"/>
        <w:gridCol w:w="109"/>
        <w:gridCol w:w="109"/>
        <w:gridCol w:w="425"/>
        <w:gridCol w:w="342"/>
        <w:gridCol w:w="916"/>
      </w:tblGrid>
      <w:tr>
        <w:trPr/>
        <w:tc>
          <w:tcPr>
            <w:tcW w:w="43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 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excluding FX effect YoY change %</w:t>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excluding FX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hardware and others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58,147 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60,856 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71,754 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Battery swapping service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33,603 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91,750 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95,561 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 YoY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excluding FX effect YoY change %</w:t>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revenues:</w:t>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FX effect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excluding FX effect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IFRS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of hardware and others</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159,111 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168,152 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197,131 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Battery swapping service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6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15.8 </w:t>
            </w:r>
          </w:p>
        </w:tc>
        <w:tc>
          <w:tcPr>
            <w:tcW w:w="9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258,316 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272,618 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287,360 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tbl>
      <w:tblPr>
        <w:tblW w:w="10205" w:type="dxa"/>
        <w:jc w:val="center"/>
        <w:tblInd w:w="0" w:type="dxa"/>
        <w:tblLayout w:type="fixed"/>
        <w:tblCellMar>
          <w:top w:w="28" w:type="dxa"/>
          <w:left w:w="28" w:type="dxa"/>
          <w:bottom w:w="28" w:type="dxa"/>
          <w:right w:w="28" w:type="dxa"/>
        </w:tblCellMar>
      </w:tblPr>
      <w:tblGrid>
        <w:gridCol w:w="1082"/>
        <w:gridCol w:w="730"/>
        <w:gridCol w:w="733"/>
        <w:gridCol w:w="196"/>
        <w:gridCol w:w="646"/>
        <w:gridCol w:w="109"/>
        <w:gridCol w:w="233"/>
        <w:gridCol w:w="233"/>
        <w:gridCol w:w="241"/>
        <w:gridCol w:w="109"/>
        <w:gridCol w:w="109"/>
        <w:gridCol w:w="109"/>
        <w:gridCol w:w="196"/>
        <w:gridCol w:w="646"/>
        <w:gridCol w:w="109"/>
        <w:gridCol w:w="233"/>
        <w:gridCol w:w="233"/>
        <w:gridCol w:w="241"/>
        <w:gridCol w:w="109"/>
        <w:gridCol w:w="109"/>
        <w:gridCol w:w="109"/>
        <w:gridCol w:w="196"/>
        <w:gridCol w:w="646"/>
        <w:gridCol w:w="109"/>
        <w:gridCol w:w="233"/>
        <w:gridCol w:w="233"/>
        <w:gridCol w:w="241"/>
        <w:gridCol w:w="109"/>
        <w:gridCol w:w="109"/>
        <w:gridCol w:w="109"/>
        <w:gridCol w:w="196"/>
        <w:gridCol w:w="646"/>
        <w:gridCol w:w="109"/>
        <w:gridCol w:w="233"/>
        <w:gridCol w:w="233"/>
        <w:gridCol w:w="288"/>
      </w:tblGrid>
      <w:tr>
        <w:trPr/>
        <w:tc>
          <w:tcPr>
            <w:tcW w:w="108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w:t>
              <w:br/>
              <w:t>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w:t>
              <w:br/>
              <w:t>Ended September 30,</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 and gross margin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Exit activities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Non-IFRS gross profit and gross margin</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19.2 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16.4 </w:t>
            </w:r>
          </w:p>
        </w:tc>
        <w:tc>
          <w:tcPr>
            <w:tcW w:w="2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47,965 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w:t>
              <w:br/>
              <w:t>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w:t>
              <w:br/>
              <w:t>Ended September 30,</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(49,332)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(86,376)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22,325 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26,734 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financial liabilities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(85,755)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(189,560)</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expenses</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20,855 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Listing expense</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178,804 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Exit activities</w:t>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1,661 </w:t>
            </w:r>
          </w:p>
        </w:tc>
        <w:tc>
          <w:tcPr>
            <w:tcW w:w="28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Non-IFRS 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(13,203)</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(16,348)</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(43,239)</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(47,882)</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w:t>
              <w:br/>
              <w:t>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w:t>
              <w:br/>
              <w:t>Ended September 30,</w:t>
            </w:r>
          </w:p>
        </w:tc>
      </w:tr>
      <w:tr>
        <w:trPr/>
        <w:tc>
          <w:tcPr>
            <w:tcW w:w="2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56,393 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(49,332)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(86,376)</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 net</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1,651 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6,594 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6,940 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23,814 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23,895 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73,293 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72,976 </w:t>
            </w:r>
          </w:p>
        </w:tc>
        <w:tc>
          <w:tcPr>
            <w:tcW w:w="2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EBITDA</w:t>
            </w:r>
          </w:p>
        </w:tc>
        <w:tc>
          <w:tcPr>
            <w:tcW w:w="14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23,259 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81,939 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30,555 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(6,460)</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26,734 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financial liabilities</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(19,142)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(85,755)</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(16,232)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(189,560)</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Acquisition-related expenses</w:t>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20,855 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Listing expense</w:t>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178,804 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Exit activities</w:t>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1,661 </w:t>
            </w:r>
          </w:p>
        </w:tc>
        <w:tc>
          <w:tcPr>
            <w:tcW w:w="28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Adjusted EBITDA</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13,144 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9,198 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36,648 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221" w:type="dxa"/>
            <w:gridSpan w:val="4"/>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32,034 </w:t>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4412</Words>
  <Characters>25256</Characters>
  <CharactersWithSpaces>29499</CharactersWithSpaces>
  <Paragraphs>879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