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February 12, 2026, Gogoro Inc. issued a press release announcing its financial and operating results for the fourth quarter and full year ended December 31, 2025. A copy of the press release is furnished herewith as Exhibit 99.1 to this Report on Form 6-K and is incorporated by reference herein.</w:t>
      </w:r>
    </w:p>
    <w:p>
      <w:pPr>
        <w:spacing w:after="0" w:line="1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sectPr>
          <w:pgSz w:w="11900" w:h="16838" w:orient="portrait"/>
          <w:cols w:equalWidth="0" w:num="1">
            <w:col w:w="11220"/>
          </w:cols>
          <w:pgMar w:left="320" w:top="1440" w:right="35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w w:val="98"/>
              </w:rPr>
              <w:t>EXHIBITS INDEX</w:t>
            </w:r>
          </w:p>
        </w:tc>
      </w:tr>
      <w:tr>
        <w:trPr>
          <w:trHeight w:val="67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Gogoro Inc., dated February 12, 2026.</w:t>
            </w:r>
          </w:p>
        </w:tc>
        <w:tc>
          <w:tcPr>
            <w:tcW w:w="82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color w:val="auto"/>
          <w:highlight w:val="white"/>
        </w:rPr>
        <w:t>February</w:t>
      </w:r>
      <w:r>
        <w:rPr>
          <w:rFonts w:ascii="Times New Roman" w:cs="Times New Roman" w:eastAsia="Times New Roman" w:hAnsi="Times New Roman"/>
          <w:sz w:val="18"/>
          <w:szCs w:val="18"/>
          <w:color w:val="auto"/>
        </w:rPr>
        <w:t xml:space="preserve"> 12, 2026</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Gogoro Releases Fourth Quarter and Full Year 2025 Financial Results,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Strong Operational Performance Establishes Foundation for 2026 Growth</w:t>
      </w:r>
    </w:p>
    <w:p>
      <w:pPr>
        <w:spacing w:after="0" w:line="22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TAIPEI, TAIWAN, February 12, 2026 </w:t>
      </w:r>
      <w:r>
        <w:rPr>
          <w:rFonts w:ascii="Times New Roman" w:cs="Times New Roman" w:eastAsia="Times New Roman" w:hAnsi="Times New Roman"/>
          <w:sz w:val="20"/>
          <w:szCs w:val="20"/>
          <w:color w:val="auto"/>
        </w:rPr>
        <w:t>– Gogoro Inc. (“Gogoro,” “the Company” or “We”) (Nasdaq: GGR), a global technology leader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battery swapping ecosystems that enable sustainable mobility solutions for cities, today released its financial results for its fourth quarter and year ended December 31, 2025.</w:t>
      </w:r>
    </w:p>
    <w:p>
      <w:pPr>
        <w:spacing w:after="0" w:line="216" w:lineRule="exact"/>
        <w:rPr>
          <w:sz w:val="20"/>
          <w:szCs w:val="20"/>
          <w:color w:val="auto"/>
        </w:rPr>
      </w:pPr>
    </w:p>
    <w:p>
      <w:pPr>
        <w:ind w:left="660" w:right="680" w:hanging="328"/>
        <w:spacing w:after="0" w:line="329" w:lineRule="auto"/>
        <w:tabs>
          <w:tab w:leader="none" w:pos="649"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Operating cash flow for the full year 2025 rose to $31.1 million, up from $9.9 million from last year, as the Company's continued progress in operating discipline and working capital rigor resulted in stronger cash generation.</w:t>
      </w:r>
    </w:p>
    <w:p>
      <w:pPr>
        <w:spacing w:after="0" w:line="197" w:lineRule="exact"/>
        <w:rPr>
          <w:rFonts w:ascii="Times New Roman" w:cs="Times New Roman" w:eastAsia="Times New Roman" w:hAnsi="Times New Roman"/>
          <w:sz w:val="19"/>
          <w:szCs w:val="19"/>
          <w:b w:val="1"/>
          <w:bCs w:val="1"/>
          <w:color w:val="auto"/>
        </w:rPr>
      </w:pPr>
    </w:p>
    <w:p>
      <w:pPr>
        <w:ind w:left="660" w:right="20" w:hanging="328"/>
        <w:spacing w:after="0" w:line="277" w:lineRule="auto"/>
        <w:tabs>
          <w:tab w:leader="none" w:pos="65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Net loss improved by more than $40 million, narrowing substantially to $(80.8) million from $(122.8) million last year. Robust operational performance drives adjusted EBITDA to a record $59.9 million in 2025, up from $44.7 million in 2024.</w:t>
      </w:r>
    </w:p>
    <w:p>
      <w:pPr>
        <w:spacing w:after="0" w:line="212" w:lineRule="exact"/>
        <w:rPr>
          <w:rFonts w:ascii="Times New Roman" w:cs="Times New Roman" w:eastAsia="Times New Roman" w:hAnsi="Times New Roman"/>
          <w:sz w:val="22"/>
          <w:szCs w:val="22"/>
          <w:color w:val="auto"/>
        </w:rPr>
      </w:pPr>
    </w:p>
    <w:p>
      <w:pPr>
        <w:ind w:left="660" w:right="340" w:hanging="328"/>
        <w:spacing w:after="0" w:line="284"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supply chain and operational execution boosted gross margin to 8.3% (up 5.7% year-over-year) and non-IFRS gross margin to 19.5% (up 4.6% year-over-year), respectively, supported by improvements in inventory and raw material turnover.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Business Update and Outlook</w:t>
      </w:r>
    </w:p>
    <w:p>
      <w:pPr>
        <w:spacing w:after="0" w:line="229" w:lineRule="exact"/>
        <w:rPr>
          <w:sz w:val="20"/>
          <w:szCs w:val="20"/>
          <w:color w:val="auto"/>
        </w:rPr>
      </w:pPr>
    </w:p>
    <w:p>
      <w:pPr>
        <w:ind w:left="660" w:right="20" w:hanging="328"/>
        <w:spacing w:after="0" w:line="27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Challenging Market Environment &amp; Financial Resilience </w:t>
      </w:r>
      <w:r>
        <w:rPr>
          <w:rFonts w:ascii="Times New Roman" w:cs="Times New Roman" w:eastAsia="Times New Roman" w:hAnsi="Times New Roman"/>
          <w:sz w:val="20"/>
          <w:szCs w:val="20"/>
          <w:color w:val="auto"/>
        </w:rPr>
        <w:t>- Taiwan’s two-wheeler market remained soft through year-end,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reflecting continued macroeconomic uncertainty and cautious consumer spending. Despite the prolonged market contraction, Gogoro delivered strong non-IFRS profitability, with adjusted EBITDA of $59.9 million for 2025 exceeding the prior year by $15.2 million, underscoring the Company’s operating discipline and resilience in a difficult environment.</w:t>
      </w:r>
    </w:p>
    <w:p>
      <w:pPr>
        <w:spacing w:after="0" w:line="152" w:lineRule="exact"/>
        <w:rPr>
          <w:rFonts w:ascii="Times New Roman" w:cs="Times New Roman" w:eastAsia="Times New Roman" w:hAnsi="Times New Roman"/>
          <w:sz w:val="22"/>
          <w:szCs w:val="22"/>
          <w:color w:val="auto"/>
        </w:rPr>
      </w:pPr>
    </w:p>
    <w:p>
      <w:pPr>
        <w:ind w:left="660" w:right="120" w:hanging="328"/>
        <w:spacing w:after="0" w:line="283"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Energy Business Progressing Toward Profitability &amp; Improving Unit Economics </w:t>
      </w:r>
      <w:r>
        <w:rPr>
          <w:rFonts w:ascii="Times New Roman" w:cs="Times New Roman" w:eastAsia="Times New Roman" w:hAnsi="Times New Roman"/>
          <w:sz w:val="20"/>
          <w:szCs w:val="20"/>
          <w:color w:val="auto"/>
        </w:rPr>
        <w:t>- Total subscribers grew to 665,000 in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supported by the launch of multiple new rate plans designed to better meet evolving customer needs. The energy business continued to approach profitability, reflecting improved operating leverage. During the year, we invested significantly in our energy network, including previously announced battery upgrade initiates. These upgrades have been completed, positioning us to realize both operational efficiencies and financial benefits beginning in 2026 and beyond.</w:t>
      </w:r>
    </w:p>
    <w:p>
      <w:pPr>
        <w:spacing w:after="0" w:line="156" w:lineRule="exact"/>
        <w:rPr>
          <w:rFonts w:ascii="Times New Roman" w:cs="Times New Roman" w:eastAsia="Times New Roman" w:hAnsi="Times New Roman"/>
          <w:sz w:val="20"/>
          <w:szCs w:val="20"/>
          <w:color w:val="auto"/>
        </w:rPr>
      </w:pPr>
    </w:p>
    <w:p>
      <w:pPr>
        <w:jc w:val="both"/>
        <w:ind w:left="660" w:right="60" w:hanging="328"/>
        <w:spacing w:after="0" w:line="27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Product Portfolio Focus &amp; Readiness for Growth </w:t>
      </w:r>
      <w:r>
        <w:rPr>
          <w:rFonts w:ascii="Times New Roman" w:cs="Times New Roman" w:eastAsia="Times New Roman" w:hAnsi="Times New Roman"/>
          <w:sz w:val="20"/>
          <w:szCs w:val="20"/>
          <w:color w:val="auto"/>
        </w:rPr>
        <w:t>- Following the later-than-planned launch of EZZY and EZZY 500 earlier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Gogoro exited 2025 with a more focused and streamlined product portfolio. Building on this foundation, the Company plans to introduce several new models in 2026, further expanding its reach across key price and core customer cohorts and strengthening the platform for both unit growth and margin improvement as market conditions stabilize.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0" w:right="339" w:bottom="1440" w:gutter="0" w:footer="0" w:header="0"/>
        </w:sectPr>
      </w:pPr>
    </w:p>
    <w:bookmarkStart w:id="5" w:name="page6"/>
    <w:bookmarkEnd w:id="5"/>
    <w:p>
      <w:pPr>
        <w:ind w:left="660" w:right="160" w:hanging="328"/>
        <w:spacing w:after="0" w:line="273" w:lineRule="auto"/>
        <w:tabs>
          <w:tab w:leader="none" w:pos="65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Advancing B2G &amp; Powered by Gogoro Network ("PBGN") </w:t>
      </w:r>
      <w:r>
        <w:rPr>
          <w:rFonts w:ascii="Times New Roman" w:cs="Times New Roman" w:eastAsia="Times New Roman" w:hAnsi="Times New Roman"/>
          <w:sz w:val="20"/>
          <w:szCs w:val="20"/>
          <w:color w:val="auto"/>
        </w:rPr>
        <w:t>- Taiwan’s Post Office began deploying Gogoro vehicles under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 electric fleet mandate, marking the first deployment of Gogoro’s battery-swapping solution and demonstrating its advantages for high-frequency urban delivery with minimal downtime. In addition, Yamaha launched the CuxiE PBGN vehicle in the third quarter, which has generated strong market interest, while ADATA, a PBGN partner, saw its heavy-duty three-wheeler continued to gain traction among delivery operators, supported by a growing number of partnerships with delivery platforms. Together, these deployments underscore the expansion and growing impact of the Gogoro Network ecosystem across Taiwan’s electric mobility landscape.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2025 Financial Summary</w:t>
      </w:r>
    </w:p>
    <w:p>
      <w:pPr>
        <w:spacing w:after="0" w:line="233" w:lineRule="exact"/>
        <w:rPr>
          <w:sz w:val="20"/>
          <w:szCs w:val="20"/>
          <w:color w:val="auto"/>
        </w:rPr>
      </w:pPr>
    </w:p>
    <w:p>
      <w:pPr>
        <w:ind w:left="660" w:right="140" w:hanging="328"/>
        <w:spacing w:after="0" w:line="251"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revenue of $74.4 million, up 1.7% year-over-year and down 2.4%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Full year revenue of $281.5 million, down 9.4% year-over-year and down 12.2% on a constant currency basis.</w:t>
      </w:r>
    </w:p>
    <w:p>
      <w:pPr>
        <w:spacing w:after="0" w:line="228" w:lineRule="exact"/>
        <w:rPr>
          <w:rFonts w:ascii="Times New Roman" w:cs="Times New Roman" w:eastAsia="Times New Roman" w:hAnsi="Times New Roman"/>
          <w:sz w:val="20"/>
          <w:szCs w:val="20"/>
          <w:color w:val="auto"/>
        </w:rPr>
      </w:pPr>
    </w:p>
    <w:p>
      <w:pPr>
        <w:ind w:left="660" w:right="80" w:hanging="328"/>
        <w:spacing w:after="0" w:line="325" w:lineRule="auto"/>
        <w:tabs>
          <w:tab w:leader="none" w:pos="64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Fourth quarter battery swapping service revenue of $38.0 million, up 5.9% year-over-year and up 1.6% on a constant currency basis; Full year battery swapping service revenue of $149.0 million, up 8.1% year-over-year and up 4.7% on a constant currency basis.</w:t>
      </w:r>
    </w:p>
    <w:p>
      <w:pPr>
        <w:spacing w:after="0" w:line="110" w:lineRule="exact"/>
        <w:rPr>
          <w:rFonts w:ascii="Times New Roman" w:cs="Times New Roman" w:eastAsia="Times New Roman" w:hAnsi="Times New Roman"/>
          <w:sz w:val="19"/>
          <w:szCs w:val="19"/>
          <w:color w:val="auto"/>
        </w:rPr>
      </w:pPr>
    </w:p>
    <w:p>
      <w:pPr>
        <w:ind w:left="660" w:right="140" w:hanging="328"/>
        <w:spacing w:after="0" w:line="289"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sales of hardware and others revenue of $36.4 million, down 2.3% year-over-year and down 6.2% on a constant currency basis; Full year sales of hardware and others revenue of $132.5 million, down 23.3% year-over-year and down 25.8% on a constant currency basis.</w:t>
      </w:r>
    </w:p>
    <w:p>
      <w:pPr>
        <w:spacing w:after="0" w:line="127" w:lineRule="exact"/>
        <w:rPr>
          <w:rFonts w:ascii="Times New Roman" w:cs="Times New Roman" w:eastAsia="Times New Roman" w:hAnsi="Times New Roman"/>
          <w:sz w:val="20"/>
          <w:szCs w:val="20"/>
          <w:color w:val="auto"/>
        </w:rPr>
      </w:pPr>
    </w:p>
    <w:p>
      <w:pPr>
        <w:jc w:val="both"/>
        <w:ind w:left="660" w:right="240" w:hanging="328"/>
        <w:spacing w:after="0" w:line="289"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gross margin of 14.3%, up from (7.4)% in the same quarter last year; Full year gross margin of 8.3%, up from 2.6% last year. Fourth quarter non-IFRS gross margin of 20.1%, up 5.4% year-over-year; Full year non-IFRS gross margin of 19.5%, up 4.6% year-over-year.</w:t>
      </w:r>
    </w:p>
    <w:p>
      <w:pPr>
        <w:spacing w:after="0" w:line="141" w:lineRule="exact"/>
        <w:rPr>
          <w:rFonts w:ascii="Times New Roman" w:cs="Times New Roman" w:eastAsia="Times New Roman" w:hAnsi="Times New Roman"/>
          <w:sz w:val="20"/>
          <w:szCs w:val="20"/>
          <w:color w:val="auto"/>
        </w:rPr>
      </w:pPr>
    </w:p>
    <w:p>
      <w:pPr>
        <w:ind w:left="660" w:right="140" w:hanging="328"/>
        <w:spacing w:after="0" w:line="297"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net loss of $20.8 million as compared to a net loss of $71.3 million in the same quarter last year; Full year net loss of $80.8 million as compared to a net loss of $122.8 million last year.</w:t>
      </w:r>
    </w:p>
    <w:p>
      <w:pPr>
        <w:spacing w:after="0" w:line="132" w:lineRule="exact"/>
        <w:rPr>
          <w:rFonts w:ascii="Times New Roman" w:cs="Times New Roman" w:eastAsia="Times New Roman" w:hAnsi="Times New Roman"/>
          <w:sz w:val="20"/>
          <w:szCs w:val="20"/>
          <w:color w:val="auto"/>
        </w:rPr>
      </w:pPr>
    </w:p>
    <w:p>
      <w:pPr>
        <w:ind w:left="660" w:right="100" w:hanging="328"/>
        <w:spacing w:after="0" w:line="297"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adjusted EBITDA of $12.9 million, up from $7.0 million in the same quarter last year; Full year adjusted EBITDA of $59.9 million, up $15.2 million from $44.7 million last year.</w:t>
      </w:r>
    </w:p>
    <w:p>
      <w:pPr>
        <w:spacing w:after="0" w:line="1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color w:val="auto"/>
        </w:rPr>
        <w:t xml:space="preserve">“2025 was a year of hard choices, but they were essential for Gogoro’s next chapter,” </w:t>
      </w:r>
      <w:r>
        <w:rPr>
          <w:rFonts w:ascii="Times New Roman" w:cs="Times New Roman" w:eastAsia="Times New Roman" w:hAnsi="Times New Roman"/>
          <w:sz w:val="20"/>
          <w:szCs w:val="20"/>
          <w:b w:val="1"/>
          <w:bCs w:val="1"/>
          <w:color w:val="auto"/>
        </w:rPr>
        <w:t>said Henry Chiang, CEO of Gogoro.</w:t>
      </w:r>
      <w:r>
        <w:rPr>
          <w:rFonts w:ascii="Times New Roman" w:cs="Times New Roman" w:eastAsia="Times New Roman" w:hAnsi="Times New Roman"/>
          <w:sz w:val="20"/>
          <w:szCs w:val="20"/>
          <w:color w:val="auto"/>
        </w:rPr>
        <w:t xml:space="preserve"> “While revenue declined, we deliberately stepped back to simplify and strengthen the business—consolidating our product portfolio, optimizing our product mix, tightening operating discipline, and improving inventory flow and supply chain execution. We chose long-term sustainability over short-term results, and that choice is now clearly reflected in our significantly improved bottom line, gross margin, and operating cash flow. This progress was the result of Gogoro teams working together across the Company with focus, discipline, and shared accountability. In 2025, our people collectively delivered outstanding operational results and translated tough decisions into real financial improvement. As we enter 2026, we are re-energizing our product roadmap, deepening engagement with our core customers, and preparing to reaccelerate growth from a much stronger, more focused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125"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right="180" w:firstLine="6"/>
        <w:spacing w:after="0" w:line="277" w:lineRule="auto"/>
        <w:rPr>
          <w:sz w:val="20"/>
          <w:szCs w:val="20"/>
          <w:color w:val="auto"/>
        </w:rPr>
      </w:pPr>
      <w:r>
        <w:rPr>
          <w:rFonts w:ascii="Times New Roman" w:cs="Times New Roman" w:eastAsia="Times New Roman" w:hAnsi="Times New Roman"/>
          <w:sz w:val="20"/>
          <w:szCs w:val="20"/>
          <w:color w:val="auto"/>
        </w:rPr>
        <w:t xml:space="preserve">“Full year revenue of $281.5 million, while reducing from 2024, was within our guided range of $270 million to $285 million. Despite this reduction in revenue, we achieved a historic high adjusted EBITDA, marking a significant step forward in the financial fundamentals of the business,” </w:t>
      </w:r>
      <w:r>
        <w:rPr>
          <w:rFonts w:ascii="Times New Roman" w:cs="Times New Roman" w:eastAsia="Times New Roman" w:hAnsi="Times New Roman"/>
          <w:sz w:val="20"/>
          <w:szCs w:val="20"/>
          <w:b w:val="1"/>
          <w:bCs w:val="1"/>
          <w:color w:val="auto"/>
        </w:rPr>
        <w:t>said Bruce Aitken, CFO of Gogoro.</w:t>
      </w:r>
      <w:r>
        <w:rPr>
          <w:rFonts w:ascii="Times New Roman" w:cs="Times New Roman" w:eastAsia="Times New Roman" w:hAnsi="Times New Roman"/>
          <w:sz w:val="20"/>
          <w:szCs w:val="20"/>
          <w:color w:val="auto"/>
        </w:rPr>
        <w:t xml:space="preserve"> “Net loss improved substantially, gross margins expanded, and operating cash flow strengthened considerably compared to 2024, reflecting tighter cost control, optimized inventory and production management, and a disciplined approach to pricing and channel investments. Over the year, we refined our operating model into a cost-efficient, scalable framework that positions us well for sustainable growth. Looking into 2026, we expect new products, operational leverage, and ongoing efficiency gains to continue driving strong profitability and cash generation.”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2025 Financial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p>
      <w:pPr>
        <w:spacing w:after="0" w:line="166" w:lineRule="exact"/>
        <w:rPr>
          <w:sz w:val="20"/>
          <w:szCs w:val="20"/>
          <w:color w:val="auto"/>
        </w:rPr>
      </w:pPr>
    </w:p>
    <w:p>
      <w:pPr>
        <w:ind w:left="20" w:right="180"/>
        <w:spacing w:after="0" w:line="259" w:lineRule="auto"/>
        <w:rPr>
          <w:sz w:val="20"/>
          <w:szCs w:val="20"/>
          <w:color w:val="auto"/>
        </w:rPr>
      </w:pPr>
      <w:r>
        <w:rPr>
          <w:rFonts w:ascii="Times New Roman" w:cs="Times New Roman" w:eastAsia="Times New Roman" w:hAnsi="Times New Roman"/>
          <w:sz w:val="20"/>
          <w:szCs w:val="20"/>
          <w:color w:val="auto"/>
        </w:rPr>
        <w:t>For the fourth quarter, the total revenue was $74.4 million, up 1.7% year-over-year and down 2.4%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the same quarter last year, revenue would have been down by an additional $3.0 million.</w:t>
      </w:r>
    </w:p>
    <w:p>
      <w:pPr>
        <w:spacing w:after="0" w:line="246" w:lineRule="exact"/>
        <w:rPr>
          <w:sz w:val="20"/>
          <w:szCs w:val="20"/>
          <w:color w:val="auto"/>
        </w:rPr>
      </w:pPr>
    </w:p>
    <w:p>
      <w:pPr>
        <w:ind w:left="660" w:hanging="328"/>
        <w:spacing w:after="0" w:line="259" w:lineRule="auto"/>
        <w:tabs>
          <w:tab w:leader="none" w:pos="656"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Battery swapping service revenue for the fourth quarter was $38.0 million, up 5.9% year-over-year, and up 1.6%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Total subscribers at the end of the fourth quarter was 665,000, up 4% from 640,000 subscribers at the end of the same quarter last year. The year-over-year increase in battery swapping service revenue was primarily driven by a larger subscriber base and consistently high retention. As our subscriber base grows, our subscription model continues to enhance network utilization and operating efficiency, reinforcing the long-term economics of our battery swapping platform.</w:t>
      </w:r>
    </w:p>
    <w:p>
      <w:pPr>
        <w:spacing w:after="0" w:line="224" w:lineRule="exact"/>
        <w:rPr>
          <w:rFonts w:ascii="Arial" w:cs="Arial" w:eastAsia="Arial" w:hAnsi="Arial"/>
          <w:sz w:val="22"/>
          <w:szCs w:val="22"/>
          <w:color w:val="auto"/>
        </w:rPr>
      </w:pPr>
    </w:p>
    <w:p>
      <w:pPr>
        <w:ind w:left="660" w:right="120" w:hanging="328"/>
        <w:spacing w:after="0" w:line="264" w:lineRule="auto"/>
        <w:tabs>
          <w:tab w:leader="none" w:pos="64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hardware and other revenue for the fourth quarter was $36.4 million, down 2.3% year-over-year, and down 6.2% year-over-year on a constant currency basis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The year-over-year decrease in sales of hardware and other revenues was driven by a 45.7% decrease in vehicle sales volume, partially reflecting the continued softness in Taiwan's scooter market. This decrease was offset by</w:t>
      </w:r>
    </w:p>
    <w:p>
      <w:pPr>
        <w:ind w:left="660" w:right="6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an increase in average selling price (“ASP”) driven by a favorable product mix shift as new models launched in the second half of the year featured a higher price point compared to the entry-level products in the prior year; and (ii) an increase in revenue from the sale of components and accessories to PBGN partners and international customers.</w:t>
      </w:r>
    </w:p>
    <w:p>
      <w:pPr>
        <w:spacing w:after="0" w:line="196" w:lineRule="exact"/>
        <w:rPr>
          <w:sz w:val="20"/>
          <w:szCs w:val="20"/>
          <w:color w:val="auto"/>
        </w:rPr>
      </w:pPr>
    </w:p>
    <w:p>
      <w:pPr>
        <w:jc w:val="both"/>
        <w:ind w:left="20" w:right="540"/>
        <w:spacing w:after="0" w:line="259" w:lineRule="auto"/>
        <w:rPr>
          <w:sz w:val="20"/>
          <w:szCs w:val="20"/>
          <w:color w:val="auto"/>
        </w:rPr>
      </w:pPr>
      <w:r>
        <w:rPr>
          <w:rFonts w:ascii="Times New Roman" w:cs="Times New Roman" w:eastAsia="Times New Roman" w:hAnsi="Times New Roman"/>
          <w:sz w:val="20"/>
          <w:szCs w:val="20"/>
          <w:color w:val="auto"/>
        </w:rPr>
        <w:t>For the full year 2025, the total revenue was $281.5 million, down 9.4% year-over-year and down 12.2%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last year, revenue would have been down by an additional $8.9 million.</w:t>
      </w:r>
    </w:p>
    <w:p>
      <w:pPr>
        <w:spacing w:after="0" w:line="219" w:lineRule="exact"/>
        <w:rPr>
          <w:sz w:val="20"/>
          <w:szCs w:val="20"/>
          <w:color w:val="auto"/>
        </w:rPr>
      </w:pPr>
    </w:p>
    <w:p>
      <w:pPr>
        <w:ind w:left="660" w:right="40" w:hanging="328"/>
        <w:spacing w:after="0" w:line="260" w:lineRule="auto"/>
        <w:tabs>
          <w:tab w:leader="none" w:pos="649"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Battery swapping service revenue for the year was $149.0 million, up 8.1% year-over-year, and up 4.7%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year-over-year growth in battery swapping service revenue reflects both subscriber base expansion and strong customer retention. Our subscription-based model provides predictable, recurring revenue and enables us to efficiently scale network usage as our customer base grows.</w:t>
      </w:r>
    </w:p>
    <w:p>
      <w:pPr>
        <w:spacing w:after="0" w:line="236" w:lineRule="exact"/>
        <w:rPr>
          <w:rFonts w:ascii="Arial" w:cs="Arial" w:eastAsia="Arial" w:hAnsi="Arial"/>
          <w:sz w:val="20"/>
          <w:szCs w:val="20"/>
          <w:color w:val="auto"/>
        </w:rPr>
      </w:pPr>
    </w:p>
    <w:p>
      <w:pPr>
        <w:ind w:left="660" w:right="240" w:hanging="328"/>
        <w:spacing w:after="0" w:line="306" w:lineRule="auto"/>
        <w:tabs>
          <w:tab w:leader="none" w:pos="6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hardware and other revenue for the year was $132.5 million, down 23.3% year-over-year, and down 25.8%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year-over-year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00" w:right="339" w:bottom="1440" w:gutter="0" w:footer="0" w:header="0"/>
        </w:sectPr>
      </w:pPr>
    </w:p>
    <w:bookmarkStart w:id="7" w:name="page8"/>
    <w:bookmarkEnd w:id="7"/>
    <w:p>
      <w:pPr>
        <w:ind w:left="660" w:right="40"/>
        <w:spacing w:after="0" w:line="261" w:lineRule="exact"/>
        <w:rPr>
          <w:sz w:val="20"/>
          <w:szCs w:val="20"/>
          <w:color w:val="auto"/>
        </w:rPr>
      </w:pPr>
      <w:r>
        <w:rPr>
          <w:rFonts w:ascii="Times New Roman" w:cs="Times New Roman" w:eastAsia="Times New Roman" w:hAnsi="Times New Roman"/>
          <w:sz w:val="20"/>
          <w:szCs w:val="20"/>
          <w:color w:val="auto"/>
        </w:rPr>
        <w:t>in hardware and other revenues was driven by a 46.3% drop in vehicle sales, reflecting a slowdown in Taiwan’s scooter market despite broader economic growth fueled by the semiconductor and electronics sectors. The decline was exacerbated by reduced government subsidies and higher vehicle prices, alongside weak consumer confidence and modest wage growth in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tech service sectors. Overall, the scooter market—including both gasoline and electric scooters—contracted 5.9%, marking the lowest annual volume since 2016. In addition to these market-wide factors, our sales were further impacted by the later-than-planned launch of the EZZY, which limited product availability during key selling periods. This decrease was partially offset by (i) an increase in ASP driven by a favorable product mix shift, as new models launched in the second half of the year featured a higher price point compared to the entry-level products in the prior year; and (ii) an increase in revenue from the sale of components and accessories to PBGN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For the fourth quarter, gross margin was 14.3%, up from (7.4)% in the same quarter last year while non-IFRS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20.1%, up from 14.7% in the same quarter last year. The increase in gross margin was primarily driven by a combination of factors indicating improved efficiency, quality, and overall performance: (i) a $11.5 million decrease in battery upgrade initiatives primarily due to the completion of our upgrade program this quarter, (ii) a $0.3 million reduction in share-based compensation, (iii) a $2.0 million reduction in inventory write-downs resulting from more effective inventory management and optimization, (iv) costs at overseas entities decreased, attributable to the Q4 2024 organizational restructuring, and (v) lower depreciation across our installed base of battery packs due to increased network efficiency, the extended battery lifespan from upgrades, and other operational improvements. The increase was partially offset by higher excess capacity costs due to reduced sales volume.</w:t>
      </w: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In the past two years, we have been undertaking a program to carry out one-time, voluntary upgrades on certain battery packs which were completed in the fourth quarter of 2025. These upgrades provide multiple benefits — more efficient deployment of our resources than replacing battery packs, increasing lifetime capacity of each battery pack (including extending its second mobility use-case useful life) and solidifying the extra lifetime capacity of each battery pack to validate our second-life thesis. These upgrades are expected to create economic benefits in the long run but will lead to a short-term reduction in our gross margin.</w:t>
      </w:r>
    </w:p>
    <w:p>
      <w:pPr>
        <w:spacing w:after="0" w:line="201"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9"/>
          <w:szCs w:val="19"/>
          <w:color w:val="auto"/>
        </w:rPr>
        <w:t>Gross margins in both full year 2025 and 2024 were materially impacted by costs from our battery upgrade initiatives, business realignment, and other one-time items. Following these strategic actions and streamlined operations, gross margins began to recover in 2025. For the full year 2025, gross margin was 8.3%, up from 2.6% last year whereas non-IFRS gross margin was 19.5%, up from 14.9% last year. The increase in gross margin was primarily driven by a combination of factors indicating improved efficiency, quality, and overall performance:</w:t>
      </w:r>
    </w:p>
    <w:p>
      <w:pPr>
        <w:spacing w:after="0" w:line="4" w:lineRule="exact"/>
        <w:rPr>
          <w:sz w:val="20"/>
          <w:szCs w:val="20"/>
          <w:color w:val="auto"/>
        </w:rPr>
      </w:pPr>
    </w:p>
    <w:p>
      <w:pPr>
        <w:jc w:val="both"/>
        <w:ind w:right="500" w:firstLine="8"/>
        <w:spacing w:after="0" w:line="288" w:lineRule="auto"/>
        <w:tabs>
          <w:tab w:leader="none" w:pos="2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 million decrease in battery upgrade initiatives was primarily due to the upgrades being completed this year, (ii) a $1.1 million reduction in share-based compensation, (iii) a $6.7 million reduction in inventory write-downs resulting from more effective inventory management and optimization, (iv) in 2024 we initiated a voluntary customer care program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263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8" w:lineRule="exact"/>
        <w:rPr>
          <w:sz w:val="20"/>
          <w:szCs w:val="20"/>
          <w:color w:val="auto"/>
        </w:rPr>
      </w:pPr>
    </w:p>
    <w:p>
      <w:pPr>
        <w:ind w:left="180" w:right="420" w:hanging="107"/>
        <w:spacing w:after="0" w:line="231" w:lineRule="auto"/>
        <w:tabs>
          <w:tab w:leader="none" w:pos="166"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This is a non-IFRS measure, see </w:t>
      </w:r>
      <w:r>
        <w:rPr>
          <w:rFonts w:ascii="Times New Roman" w:cs="Times New Roman" w:eastAsia="Times New Roman" w:hAnsi="Times New Roman"/>
          <w:sz w:val="14"/>
          <w:szCs w:val="14"/>
          <w:b w:val="1"/>
          <w:bCs w:val="1"/>
          <w:color w:val="auto"/>
        </w:rPr>
        <w:t>Use of Non-IFRS Financial Measures</w:t>
      </w:r>
      <w:r>
        <w:rPr>
          <w:rFonts w:ascii="Times New Roman" w:cs="Times New Roman" w:eastAsia="Times New Roman" w:hAnsi="Times New Roman"/>
          <w:sz w:val="14"/>
          <w:szCs w:val="14"/>
          <w:color w:val="auto"/>
        </w:rPr>
        <w:t xml:space="preserve"> for a description of the non-IFRS measures and </w:t>
      </w:r>
      <w:r>
        <w:rPr>
          <w:rFonts w:ascii="Times New Roman" w:cs="Times New Roman" w:eastAsia="Times New Roman" w:hAnsi="Times New Roman"/>
          <w:sz w:val="14"/>
          <w:szCs w:val="14"/>
          <w:b w:val="1"/>
          <w:bCs w:val="1"/>
          <w:color w:val="auto"/>
        </w:rPr>
        <w:t>Reconciliation of IFRS Financial Metrics to Non-IFRS</w:t>
      </w:r>
      <w:r>
        <w:rPr>
          <w:rFonts w:ascii="Times New Roman" w:cs="Times New Roman" w:eastAsia="Times New Roman" w:hAnsi="Times New Roman"/>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00"/>
          </w:cols>
          <w:pgMar w:left="320" w:top="1102"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resulted in a one-time $1.7 million cost and a $1.7 million voluntary one-time battery swapping service rebate that were both accounted for as contra revenue, (v) costs at overseas entities decreased, attributable to the Q4 2024 organizational restructuring, and (vi) lower depreciation across our installed base of battery packs due to increased network efficiency, the extended battery lifespan from upgrades, and other operational improvements. The increase was partially offset by higher excess capacity costs due to reduced sales volume.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1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For the fourth quarter, net loss was $20.8 million, representing a decrease of $50.5 million from a net loss of $71.3 million in the same quarter last year. The decrease in net loss was primarily due to a $16.0 million increase in gross profit, and a $31.0 million reduction in operating expenses. The decrease in operating expenses was mainly due to (i) a $27.5 million one-time decrease in other operating expense, primarily associated with an impairment loss and, to a lesser extent, a loss on disposal of property and equipment in Q4 2024, (ii) lower payroll driven by organizational efficiency, (iii) lower variable marketing and promotional expenses resulting from reduced sales volume, and (iv) a $0.6 million reduction in share-based compensation.</w:t>
      </w:r>
    </w:p>
    <w:p>
      <w:pPr>
        <w:spacing w:after="0" w:line="21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color w:val="auto"/>
        </w:rPr>
        <w:t>For the full year 2025, net loss was $80.8 million, representing a decrease of $42.0 million from a net loss of $122.8 million in the same period last year. The decrease in net loss was primarily due to a $15.5 million increase in gross profit, and a $51.9 million reduction in operating expenses. The decrease in operating expenses was mainly due to (i) a $28.2 million one-time decrease in other operating expense, primarily associated with an impairment loss and, to a lesser extent, a loss on disposal of property and equipment in 2024, (ii) lower variable marketing and promotional expenses resulting from reduced sales volume, (iii) savings in research and development expenses by focusing the vehicle business on a streamlined product portfolio, which allowed for the reduction of certain development programs, (iv) lower payroll driven by organizational efficiency, and (v) a $8.2 million reduction in share-based compensation. The decrease in net loss was partially offset by an unfavorable change of $25.8 million in the fair value of financial liabilities associated with outstanding earnout shares, earn-in shares and warrants, which was mainly due to the Gogoro stock price declining to a lesser extent when compared to last year, and a $1.8 million increase in net interest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fourth quarter,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$12.9 million, representing an increase of $5.9 million from $7.0 million in the same quarter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last year. The increase was primarily due to a $3.8 million increase in non-IFRS gross profit (excluding depreciation and amortization),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 million reduction in operating expenses (excluding share-based compensation, depreciation and amortization, and impairment charges)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resulting from various cost-saving initiatives, and a net increase of $0.4 million in non-operating income and expenses.</w:t>
      </w:r>
    </w:p>
    <w:p>
      <w:pPr>
        <w:spacing w:after="0" w:line="28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color w:val="auto"/>
        </w:rPr>
        <w:t>For the full year 2025,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$59.9 million, representing an increase of $15.2 million from $44.7 million in the same quarter last year. The increase was primarily due to a $3.5 million increase in non-IFRS gross profit (excluding depreciation and amortization), a $12.6 million reduction in operating expenses (excluding share-based compensation, depreciation and amortization, and impairment charges) resulting from various cost-saving initiatives, organizational restructuring, and improved expense efficiency, and a net decrease of $0.9 million in non-operating income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3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For the year ended 2025, we generated operating cash inflows of $31.1 million, compared with $9.9 million last year, primarily reflecting cost reductions from Q4 2024 restructuring, improved operational efficiency, and stronger supply chain and inventory management resulting from robust operational performance. As of year-end 2025, we had a cash balance of $70.6 million. In addition, a director of Gogoro has provided an undertaking to secure NTD$2.5 billion (approximately $80 million) of equity investments in the Company by the end of 2026 to further enhance our liquidity and strengthen our financial position. We believe these resources would provide sufficient funding to support our near-term business growth objectives.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Impairment and Exit Activities</w:t>
      </w:r>
    </w:p>
    <w:p>
      <w:pPr>
        <w:spacing w:after="0" w:line="24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In 2025, we consolidated facilities and exited certain market. As a result of these actions, we recognized $5.8 million in non-cash impairment charges mainly related to unrealizable goods and services tax credit in India, as well as $1.4 million in exit-related costs associated with the discontinuation of motors specifically designed for markets that we no longer actively pursue. These asset impairments and exit activities materially impacted Gogoro’s fourth quarter and full year 2025 IFRS results of operations; however, they had no impact on non-IFRS net loss or adjusted EBITDA.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Guidance</w:t>
      </w:r>
    </w:p>
    <w:p>
      <w:pPr>
        <w:spacing w:after="0" w:line="24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While we anticipate a gradual recovery in Taiwan’s two-wheeler market during 2026, we remain cautious given ongoing market softness. Accordingly, we expect revenue to recover modestly from 2025 levels and to be in the range of $285 million to $305 million in 2026. We estimate that approximately 95% of full-year revenue will be generated from the Taiwan market. We remain focused on executing our long-term plan to improve profitability. We anticipate the Gogoro Network battery-swapping business will achieve non-IFRS profitability in 2026, with the hardware sales business expected to reach non-IFRS profitability in 2028.</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33"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20"/>
          <w:szCs w:val="20"/>
          <w:color w:val="auto"/>
        </w:rPr>
        <w:t>Gogoro’s management team will hold an earnings webcast on February 12, 2026, at 7:00 a.m. Eastern Time to discuss the Company’s fourth quarter and full year 2025 results of operations and outlook.</w:t>
      </w:r>
    </w:p>
    <w:p>
      <w:pPr>
        <w:spacing w:after="0" w:line="18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20"/>
          <w:szCs w:val="20"/>
          <w:color w:val="auto"/>
        </w:rPr>
        <w:t xml:space="preserve">Investors may access the webcast, supplemental financial information and investor presentation at Gogoro’s investor relations website </w:t>
      </w:r>
      <w:r>
        <w:rPr>
          <w:rFonts w:ascii="Times New Roman" w:cs="Times New Roman" w:eastAsia="Times New Roman" w:hAnsi="Times New Roman"/>
          <w:sz w:val="20"/>
          <w:szCs w:val="20"/>
          <w:color w:val="0000FF"/>
        </w:rPr>
        <w:t xml:space="preserve">(https://investor.gogoro.com) </w:t>
      </w:r>
      <w:r>
        <w:rPr>
          <w:rFonts w:ascii="Times New Roman" w:cs="Times New Roman" w:eastAsia="Times New Roman" w:hAnsi="Times New Roman"/>
          <w:sz w:val="20"/>
          <w:szCs w:val="20"/>
          <w:color w:val="000000"/>
        </w:rPr>
        <w:t>under the “Events” section. A replay of the investor presentation and the earnings call script will be available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24 hours after the conclusion of the webcast and archived for one year.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Gogoro</w:t>
      </w:r>
    </w:p>
    <w:p>
      <w:pPr>
        <w:spacing w:after="0" w:line="2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Founded in 2011 to rethink urban energy, Gogoro is the world’s leader in battery-swapping electric mobility, setting new standards for sustainable mobility. Powering nearly 700,000 riders and over 800 million battery swaps across more than 2,700 GoStation locations, the Gogoro Network redefines how cities move. Recognized globally in 2024, including Fortune’s "Change the World," Fast Company’s "Asia-Pacific's Most Innovative Company," MIT Technology Review’s "15 Climate Tech Companies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00"/>
          </w:cols>
          <w:pgMar w:left="320" w:top="1287" w:right="3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0"/>
        <w:spacing w:after="0" w:line="297" w:lineRule="auto"/>
        <w:rPr>
          <w:sz w:val="20"/>
          <w:szCs w:val="20"/>
          <w:color w:val="auto"/>
        </w:rPr>
      </w:pPr>
      <w:r>
        <w:rPr>
          <w:rFonts w:ascii="Times New Roman" w:cs="Times New Roman" w:eastAsia="Times New Roman" w:hAnsi="Times New Roman"/>
          <w:sz w:val="20"/>
          <w:szCs w:val="20"/>
          <w:color w:val="auto"/>
        </w:rPr>
        <w:t>Watch," and Frost &amp; Sullivan’s "Global Company of the Year" for battery swapping, Gogoro continues to disrupt the status quo and accelerate the shift to cleaner, smarter mobility, and lead the way in reimagining how cities move.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"Updated 2026 Guidance," such as estimates regarding Taiwan two-wheeler market and Gogoro's revenue and gross margin; statements in the section entitled, "2025 Business Update and Outlook," such as Gogoro's product development plan; statements by Gogoro's chief executive officer and chief financial officer, such as Gogoro's future business plan and growth strategies, Gogoro's outlook for the full year of 2026 and future profitability; and Gogoro's battery pack upgrade initiatives (and its expected costs and benefits).</w:t>
      </w:r>
    </w:p>
    <w:p>
      <w:pPr>
        <w:spacing w:after="0" w:line="2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 xml:space="preserve">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and B2G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2024, which was filed on March 31, 2025 and in its subsequent filings with the SEC, copies of which are available on the SEC's website at </w:t>
      </w:r>
      <w:r>
        <w:rPr>
          <w:rFonts w:ascii="Times New Roman" w:cs="Times New Roman" w:eastAsia="Times New Roman" w:hAnsi="Times New Roman"/>
          <w:sz w:val="20"/>
          <w:szCs w:val="20"/>
          <w:color w:val="0000FF"/>
        </w:rPr>
        <w:t>www.sec.gov</w:t>
      </w:r>
      <w:r>
        <w:rPr>
          <w:rFonts w:ascii="Times New Roman" w:cs="Times New Roman" w:eastAsia="Times New Roman" w:hAnsi="Times New Roman"/>
          <w:sz w:val="20"/>
          <w:szCs w:val="20"/>
          <w:color w:val="000000"/>
        </w:rPr>
        <w:t>. The forward-looking statements in this communication are based on information available to Gogoro as of the date hereof,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Gogoro disclaims any obligation to update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23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and the years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2025 will be included in the Company's Annual Report on Form 20-F for the year ending December 31, 2025. Accordingly, these condensed consolidated financial statements should be read in conjunction with the audited consolidated financial statements and related notes for the year ended December 31, 2024 included in the Company’s Annual Report on Form 20-F filed with the SEC on March 31, 2025,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33"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non-IFRS financial measures including foreign exchange effect on operating revenues, non-IFRS gross profit, non-IFRS gross margin, non-IFRS net loss, EBITDA and adjusted EBITDA.</w:t>
      </w:r>
    </w:p>
    <w:p>
      <w:pPr>
        <w:spacing w:after="0" w:line="18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Foreign exchange ("FX") effect on operating revenues. </w:t>
      </w:r>
      <w:r>
        <w:rPr>
          <w:rFonts w:ascii="Times New Roman" w:cs="Times New Roman" w:eastAsia="Times New Roman" w:hAnsi="Times New Roman"/>
          <w:sz w:val="20"/>
          <w:szCs w:val="20"/>
          <w:color w:val="auto"/>
        </w:rPr>
        <w:t>We compare the dollar amount and the percent change in the operating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197" w:lineRule="exact"/>
        <w:rPr>
          <w:sz w:val="20"/>
          <w:szCs w:val="20"/>
          <w:color w:val="auto"/>
        </w:rPr>
      </w:pPr>
    </w:p>
    <w:p>
      <w:pPr>
        <w:ind w:right="160"/>
        <w:spacing w:after="0" w:line="344" w:lineRule="auto"/>
        <w:rPr>
          <w:sz w:val="20"/>
          <w:szCs w:val="20"/>
          <w:color w:val="auto"/>
        </w:rPr>
      </w:pPr>
      <w:r>
        <w:rPr>
          <w:rFonts w:ascii="Times New Roman" w:cs="Times New Roman" w:eastAsia="Times New Roman" w:hAnsi="Times New Roman"/>
          <w:sz w:val="19"/>
          <w:szCs w:val="19"/>
          <w:b w:val="1"/>
          <w:bCs w:val="1"/>
          <w:color w:val="auto"/>
        </w:rPr>
        <w:t xml:space="preserve">Non-IFRS Gross Profit and Gross Margin. </w:t>
      </w:r>
      <w:r>
        <w:rPr>
          <w:rFonts w:ascii="Times New Roman" w:cs="Times New Roman" w:eastAsia="Times New Roman" w:hAnsi="Times New Roman"/>
          <w:sz w:val="19"/>
          <w:szCs w:val="19"/>
          <w:color w:val="auto"/>
        </w:rPr>
        <w:t>Gogoro defines non-IFRS gross profit and gross margin as gross profit and gross margin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excluding share-based compensation, exit activities, customer care package, battery upgrade initiatives and battery swapping service rebate.</w:t>
      </w:r>
    </w:p>
    <w:p>
      <w:pPr>
        <w:spacing w:after="0" w:line="1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Share-based Compensation. </w:t>
      </w:r>
      <w:r>
        <w:rPr>
          <w:rFonts w:ascii="Times New Roman" w:cs="Times New Roman" w:eastAsia="Times New Roman" w:hAnsi="Times New Roman"/>
          <w:sz w:val="20"/>
          <w:szCs w:val="20"/>
          <w:color w:val="auto"/>
        </w:rPr>
        <w:t>Share-based compensation consists of non-cash charges related to the fair value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spacing w:after="0" w:line="14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Non-IFRS Net Loss. </w:t>
      </w:r>
      <w:r>
        <w:rPr>
          <w:rFonts w:ascii="Times New Roman" w:cs="Times New Roman" w:eastAsia="Times New Roman" w:hAnsi="Times New Roman"/>
          <w:sz w:val="20"/>
          <w:szCs w:val="20"/>
          <w:color w:val="auto"/>
        </w:rPr>
        <w:t>Gogoro defines non-IFRS net loss as net loss excluding share-based compensation, the change in fair value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revaluation of change in fair value of earnout, earn-in and warrants associated with the merger of Poema, customer care package, battery upgrade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4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20"/>
          <w:szCs w:val="20"/>
          <w:color w:val="auto"/>
        </w:rPr>
        <w:t>initiatives, battery swapping service rebate, exit activities, and impairment charges. These amounts do not reflect the impact of any related tax effects.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depreciation, and amortization.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do not reflect the impact of any related tax effects.</w:t>
      </w:r>
    </w:p>
    <w:p>
      <w:pPr>
        <w:spacing w:after="0" w:line="2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Gogoro defines Adjusted EBITDA as EBITDA excluding share-based compensation, the change in fair value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liabilities including revaluation of change in fair value of earnout, earn-in and warrants associated with the merger of Poema, customer care package, battery upgrade initiatives, battery swapping service rebate, exit activities, and impairment charges. These amounts do not reflect the impact of any related tax effects.</w:t>
      </w:r>
    </w:p>
    <w:p>
      <w:pPr>
        <w:spacing w:after="0" w:line="192"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20"/>
          <w:szCs w:val="20"/>
          <w:b w:val="1"/>
          <w:bCs w:val="1"/>
          <w:color w:val="auto"/>
        </w:rPr>
        <w:t xml:space="preserve">Battery Upgrade Initiatives. </w:t>
      </w:r>
      <w:r>
        <w:rPr>
          <w:rFonts w:ascii="Times New Roman" w:cs="Times New Roman" w:eastAsia="Times New Roman" w:hAnsi="Times New Roman"/>
          <w:sz w:val="20"/>
          <w:szCs w:val="20"/>
          <w:color w:val="auto"/>
        </w:rPr>
        <w:t>As we perform certain voluntary upgrades to our battery packs, this charge represents the (i) derecognition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on components removed from the battery pack, which we do not expect to generate any future benefits from its disposal and (ii) battery pack retrieval and other directly attributable costs incurred during the battery upgrades. We will only upgrade battery packs in instances where the value created exceeds the cost of the upgrade. The program will improve batteries' capacity and extend the remaining useful life of certain battery packs. The derecognition expense and the retrieval and 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 investors with additional means to evaluate our profitability trends. We expect the derecognition expense and retrieval and other costs to recur in future periods as incurred during the implementation phase of the battery upgrade program.</w:t>
      </w:r>
    </w:p>
    <w:p>
      <w:pPr>
        <w:spacing w:after="0" w:line="204" w:lineRule="exact"/>
        <w:rPr>
          <w:sz w:val="20"/>
          <w:szCs w:val="20"/>
          <w:color w:val="auto"/>
        </w:rPr>
      </w:pPr>
    </w:p>
    <w:p>
      <w:pPr>
        <w:ind w:left="20" w:right="30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Battery Swapping Service Rebate. </w:t>
      </w:r>
      <w:r>
        <w:rPr>
          <w:rFonts w:ascii="Times New Roman" w:cs="Times New Roman" w:eastAsia="Times New Roman" w:hAnsi="Times New Roman"/>
          <w:sz w:val="20"/>
          <w:szCs w:val="20"/>
          <w:color w:val="auto"/>
        </w:rPr>
        <w:t>We voluntarily offered one-time subscription fee discounts to certain subscribers of Gogoro Network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spacing w:after="0" w:line="197"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Customer Care Package. </w:t>
      </w:r>
      <w:r>
        <w:rPr>
          <w:rFonts w:ascii="Times New Roman" w:cs="Times New Roman" w:eastAsia="Times New Roman" w:hAnsi="Times New Roman"/>
          <w:sz w:val="20"/>
          <w:szCs w:val="20"/>
          <w:color w:val="auto"/>
        </w:rPr>
        <w:t>Gogoro voluntarily initiated a one-time customer benefit package to enrich certain customers’ user experiences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includes specific vehicle extended warranty programs, software upgrades and certain hardware upgrades. We classified a portion of the relevant costs to other operating expenses as it does not relate to existing contracts with the customers, and these beneficial customers do not need to exchange consideration for this package. The package was intended to enhance satisfaction of existing customers rather than boosting future sales.</w:t>
      </w:r>
    </w:p>
    <w:p>
      <w:pPr>
        <w:spacing w:after="0" w:line="197" w:lineRule="exact"/>
        <w:rPr>
          <w:sz w:val="20"/>
          <w:szCs w:val="20"/>
          <w:color w:val="auto"/>
        </w:rPr>
      </w:pPr>
    </w:p>
    <w:p>
      <w:pPr>
        <w:ind w:left="20" w:right="20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Impairment charges. </w:t>
      </w:r>
      <w:r>
        <w:rPr>
          <w:rFonts w:ascii="Times New Roman" w:cs="Times New Roman" w:eastAsia="Times New Roman" w:hAnsi="Times New Roman"/>
          <w:sz w:val="20"/>
          <w:szCs w:val="20"/>
          <w:color w:val="auto"/>
        </w:rPr>
        <w:t>Non-cash impairment charges, primarily associated with adjustments to the carrying values of certain machinery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equipment which is currently underutilized. The process of evaluating the potential impairment of long-lived assets under the accounting guidance on property, plant and equipment is subjective and requires judgment. We exclude impairment charges for purposes of calculating certain non-IFRS measures because the charges do not reflect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00" w:right="339" w:bottom="1440" w:gutter="0" w:footer="0" w:header="0"/>
        </w:sectPr>
      </w:pPr>
    </w:p>
    <w:bookmarkStart w:id="13" w:name="page14"/>
    <w:bookmarkEnd w:id="13"/>
    <w:p>
      <w:pPr>
        <w:ind w:left="20" w:right="320"/>
        <w:spacing w:after="0" w:line="297" w:lineRule="auto"/>
        <w:rPr>
          <w:sz w:val="20"/>
          <w:szCs w:val="20"/>
          <w:color w:val="auto"/>
        </w:rPr>
      </w:pPr>
      <w:r>
        <w:rPr>
          <w:rFonts w:ascii="Times New Roman" w:cs="Times New Roman" w:eastAsia="Times New Roman" w:hAnsi="Times New Roman"/>
          <w:sz w:val="20"/>
          <w:szCs w:val="20"/>
          <w:color w:val="auto"/>
        </w:rPr>
        <w:t>These adjustments facilitate a useful evaluation of our core operating performance and comparisons to past operating results and provide investors with additional means to evaluate expense trends.</w:t>
      </w:r>
    </w:p>
    <w:p>
      <w:pPr>
        <w:spacing w:after="0" w:line="196" w:lineRule="exact"/>
        <w:rPr>
          <w:sz w:val="20"/>
          <w:szCs w:val="20"/>
          <w:color w:val="auto"/>
        </w:rPr>
      </w:pPr>
    </w:p>
    <w:p>
      <w:pPr>
        <w:ind w:left="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Exit Activities. </w:t>
      </w:r>
      <w:r>
        <w:rPr>
          <w:rFonts w:ascii="Times New Roman" w:cs="Times New Roman" w:eastAsia="Times New Roman" w:hAnsi="Times New Roman"/>
          <w:sz w:val="20"/>
          <w:szCs w:val="20"/>
          <w:color w:val="auto"/>
        </w:rPr>
        <w:t>We have incurred charges including the exit of certain product lines, markets and facilities as well as severance as a result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headcount reduction associated with organizational restructuring. These charges are not representative of ongoing costs to the business and are not expected to recur. As a result, these charges are being excluded to provide investors with a more comparable measure of costs associated with ongoing operations.</w:t>
      </w:r>
    </w:p>
    <w:p>
      <w:pPr>
        <w:spacing w:after="0" w:line="20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interest expense, depreciation and amortization, change in fair value of financial liabilities associated with outstanding earnout shares, earn-in shares and warrants associated with the merger of Poema, battery upgrade initiative, battery swapping service rebate, customer care package, impairment charges and exit activities.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05"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160"/>
          </w:cols>
          <w:pgMar w:left="320" w:top="1102" w:right="419" w:bottom="1440" w:gutter="0" w:footer="0" w:header="0"/>
        </w:sect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320" w:space="720"/>
            <w:col w:w="5120"/>
          </w:cols>
          <w:pgMar w:left="320" w:top="1102"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666666"/>
        </w:rPr>
        <w:t>press@gogoro.com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ir@gogoro.com</w:t>
      </w:r>
    </w:p>
    <w:p>
      <w:pPr>
        <w:spacing w:after="0" w:line="200" w:lineRule="exact"/>
        <w:rPr>
          <w:sz w:val="20"/>
          <w:szCs w:val="20"/>
          <w:color w:val="auto"/>
        </w:rPr>
      </w:pPr>
    </w:p>
    <w:p>
      <w:pPr>
        <w:sectPr>
          <w:pgSz w:w="11900" w:h="16838" w:orient="portrait"/>
          <w:cols w:equalWidth="0" w:num="2">
            <w:col w:w="5320" w:space="720"/>
            <w:col w:w="5120"/>
          </w:cols>
          <w:pgMar w:left="320" w:top="110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160"/>
          </w:cols>
          <w:pgMar w:left="320" w:top="1102" w:right="419" w:bottom="1440" w:gutter="0" w:footer="0" w:header="0"/>
          <w:type w:val="continuous"/>
        </w:sectPr>
      </w:pPr>
    </w:p>
    <w:bookmarkStart w:id="14" w:name="page15"/>
    <w:bookmarkEnd w:id="14"/>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Trade receivables</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Inventories </w:t>
      </w:r>
      <w:r>
        <w:rPr>
          <w:rFonts w:ascii="Times New Roman" w:cs="Times New Roman" w:eastAsia="Times New Roman" w:hAnsi="Times New Roman"/>
          <w:sz w:val="18"/>
          <w:szCs w:val="18"/>
          <w:color w:val="auto"/>
          <w:vertAlign w:val="superscript"/>
        </w:rPr>
        <w:t>2</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assets, current</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2</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assets</w:t>
      </w:r>
    </w:p>
    <w:p>
      <w:pPr>
        <w:spacing w:after="0" w:line="26" w:lineRule="exact"/>
        <w:rPr>
          <w:sz w:val="20"/>
          <w:szCs w:val="20"/>
          <w:color w:val="auto"/>
        </w:rPr>
      </w:pPr>
    </w:p>
    <w:p>
      <w:pPr>
        <w:ind w:left="20" w:right="760"/>
        <w:spacing w:after="0" w:line="332" w:lineRule="auto"/>
        <w:rPr>
          <w:sz w:val="20"/>
          <w:szCs w:val="20"/>
          <w:color w:val="auto"/>
        </w:rPr>
      </w:pPr>
      <w:r>
        <w:rPr>
          <w:rFonts w:ascii="Times New Roman" w:cs="Times New Roman" w:eastAsia="Times New Roman" w:hAnsi="Times New Roman"/>
          <w:sz w:val="14"/>
          <w:szCs w:val="14"/>
          <w:color w:val="auto"/>
        </w:rPr>
        <w:t>Investments accounted for using equity method Other assets, non-current</w:t>
      </w:r>
    </w:p>
    <w:p>
      <w:pPr>
        <w:ind w:left="2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3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64" w:lineRule="exact"/>
        <w:rPr>
          <w:sz w:val="20"/>
          <w:szCs w:val="20"/>
          <w:color w:val="auto"/>
        </w:rPr>
      </w:pPr>
    </w:p>
    <w:tbl>
      <w:tblPr>
        <w:tblLayout w:type="fixed"/>
        <w:tblInd w:w="300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320" w:type="dxa"/>
            <w:vAlign w:val="bottom"/>
          </w:tcPr>
          <w:p>
            <w:pPr>
              <w:spacing w:after="0"/>
              <w:rPr>
                <w:sz w:val="17"/>
                <w:szCs w:val="17"/>
                <w:color w:val="auto"/>
              </w:rPr>
            </w:pPr>
          </w:p>
        </w:tc>
        <w:tc>
          <w:tcPr>
            <w:tcW w:w="15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64"/>
        </w:trPr>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70,574</w:t>
            </w:r>
          </w:p>
        </w:tc>
        <w:tc>
          <w:tcPr>
            <w:tcW w:w="2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117,148</w:t>
            </w:r>
          </w:p>
        </w:tc>
      </w:tr>
      <w:tr>
        <w:trPr>
          <w:trHeight w:val="203"/>
        </w:trPr>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16,977</w:t>
            </w:r>
          </w:p>
        </w:tc>
      </w:tr>
      <w:tr>
        <w:trPr>
          <w:trHeight w:val="203"/>
        </w:trPr>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44,972</w:t>
            </w:r>
          </w:p>
        </w:tc>
      </w:tr>
      <w:tr>
        <w:trPr>
          <w:trHeight w:val="203"/>
        </w:trPr>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23,727</w:t>
            </w:r>
          </w:p>
        </w:tc>
      </w:tr>
      <w:tr>
        <w:trPr>
          <w:trHeight w:val="23"/>
        </w:trPr>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130,852</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202,824</w:t>
            </w:r>
          </w:p>
        </w:tc>
      </w:tr>
      <w:tr>
        <w:trPr>
          <w:trHeight w:val="368"/>
        </w:trPr>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420,675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438,255</w:t>
            </w:r>
          </w:p>
        </w:tc>
      </w:tr>
      <w:tr>
        <w:trPr>
          <w:trHeight w:val="203"/>
        </w:trPr>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35,303</w:t>
            </w:r>
          </w:p>
        </w:tc>
      </w:tr>
      <w:tr>
        <w:trPr>
          <w:trHeight w:val="203"/>
        </w:trPr>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203"/>
        </w:trPr>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7,928</w:t>
            </w:r>
          </w:p>
        </w:tc>
      </w:tr>
      <w:tr>
        <w:trPr>
          <w:trHeight w:val="23"/>
        </w:trPr>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599,955</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700,427</w:t>
            </w:r>
          </w:p>
        </w:tc>
      </w:tr>
      <w:tr>
        <w:trPr>
          <w:trHeight w:val="27"/>
        </w:trPr>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-1722120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-1464945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-1207770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-950595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-685165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-427990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-170815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520" w:space="720"/>
            <w:col w:w="7000"/>
          </w:cols>
          <w:pgMar w:left="320" w:top="10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5"/>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current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83,488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103,018</w:t>
            </w:r>
          </w:p>
        </w:tc>
      </w:tr>
      <w:tr>
        <w:trPr>
          <w:trHeight w:val="195"/>
        </w:trPr>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liabilities at fair value through profit or loss</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21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and trade payables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29,351</w:t>
            </w:r>
          </w:p>
        </w:tc>
      </w:tr>
      <w:tr>
        <w:trPr>
          <w:trHeight w:val="195"/>
        </w:trPr>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r>
      <w:tr>
        <w:trPr>
          <w:trHeight w:val="21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9,446</w:t>
            </w: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Financial liabilities at amortized cost, current </w:t>
            </w:r>
            <w:r>
              <w:rPr>
                <w:rFonts w:ascii="Times New Roman" w:cs="Times New Roman" w:eastAsia="Times New Roman" w:hAnsi="Times New Roman"/>
                <w:sz w:val="18"/>
                <w:szCs w:val="18"/>
                <w:color w:val="auto"/>
                <w:vertAlign w:val="superscript"/>
              </w:rPr>
              <w:t>3</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24,586</w:t>
            </w:r>
          </w:p>
        </w:tc>
      </w:tr>
      <w:tr>
        <w:trPr>
          <w:trHeight w:val="20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Provisions, current</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r>
      <w:tr>
        <w:trPr>
          <w:trHeight w:val="196"/>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42,577</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40,465</w:t>
            </w:r>
          </w:p>
        </w:tc>
      </w:tr>
      <w:tr>
        <w:trPr>
          <w:trHeight w:val="196"/>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170,770</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225,629</w:t>
            </w:r>
          </w:p>
        </w:tc>
      </w:tr>
      <w:tr>
        <w:trPr>
          <w:trHeight w:val="189"/>
        </w:trPr>
        <w:tc>
          <w:tcPr>
            <w:tcW w:w="7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Borrowings, non-current </w:t>
            </w:r>
            <w:r>
              <w:rPr>
                <w:rFonts w:ascii="Times New Roman" w:cs="Times New Roman" w:eastAsia="Times New Roman" w:hAnsi="Times New Roman"/>
                <w:sz w:val="18"/>
                <w:szCs w:val="18"/>
                <w:color w:val="auto"/>
                <w:vertAlign w:val="superscript"/>
              </w:rPr>
              <w:t>4</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277,766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253,750</w:t>
            </w:r>
          </w:p>
        </w:tc>
      </w:tr>
      <w:tr>
        <w:trPr>
          <w:trHeight w:val="195"/>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Financial liabilities at amortized cost, non-current </w:t>
            </w:r>
            <w:r>
              <w:rPr>
                <w:rFonts w:ascii="Times New Roman" w:cs="Times New Roman" w:eastAsia="Times New Roman" w:hAnsi="Times New Roman"/>
                <w:sz w:val="18"/>
                <w:szCs w:val="18"/>
                <w:color w:val="auto"/>
                <w:vertAlign w:val="superscript"/>
              </w:rPr>
              <w:t>3</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non-current</w:t>
            </w: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16,123</w:t>
            </w:r>
          </w:p>
        </w:tc>
      </w:tr>
      <w:tr>
        <w:trPr>
          <w:trHeight w:val="18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492,550</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523,887</w:t>
            </w:r>
          </w:p>
        </w:tc>
      </w:tr>
      <w:tr>
        <w:trPr>
          <w:trHeight w:val="189"/>
        </w:trPr>
        <w:tc>
          <w:tcPr>
            <w:tcW w:w="7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9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107,405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176,540</w:t>
            </w:r>
          </w:p>
        </w:tc>
      </w:tr>
      <w:tr>
        <w:trPr>
          <w:trHeight w:val="22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599,955</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700,427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7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24"/>
                <w:szCs w:val="24"/>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5"/>
        </w:trPr>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Raw materials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14,859</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23,337</w:t>
            </w:r>
          </w:p>
        </w:tc>
      </w:tr>
      <w:tr>
        <w:trPr>
          <w:trHeight w:val="21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Semi-finished goods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96"/>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Merchandise</w:t>
            </w: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18,968</w:t>
            </w:r>
          </w:p>
        </w:tc>
      </w:tr>
      <w:tr>
        <w:trPr>
          <w:trHeight w:val="228"/>
        </w:trPr>
        <w:tc>
          <w:tcPr>
            <w:tcW w:w="7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inventories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26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22" w:lineRule="exact"/>
        <w:rPr>
          <w:sz w:val="20"/>
          <w:szCs w:val="20"/>
          <w:color w:val="auto"/>
        </w:rPr>
      </w:pPr>
    </w:p>
    <w:p>
      <w:pPr>
        <w:ind w:left="80" w:right="80" w:hanging="72"/>
        <w:spacing w:after="0" w:line="226" w:lineRule="auto"/>
        <w:tabs>
          <w:tab w:leader="none" w:pos="82"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December 31, 2025 and 2024, the Company classified $20.0 million and $27.7 million from inventory to property, plan and equipment, respectively of undeployed battery packs and related battery cells in property, plant and equipment based on the Company's deployment plan for the next 12 months.</w:t>
      </w:r>
    </w:p>
    <w:p>
      <w:pPr>
        <w:spacing w:after="0" w:line="1" w:lineRule="exact"/>
        <w:rPr>
          <w:sz w:val="20"/>
          <w:szCs w:val="20"/>
          <w:color w:val="auto"/>
        </w:rPr>
      </w:pPr>
    </w:p>
    <w:p>
      <w:pPr>
        <w:ind w:left="80" w:right="460" w:hanging="72"/>
        <w:spacing w:after="0" w:line="184" w:lineRule="auto"/>
        <w:tabs>
          <w:tab w:leader="none" w:pos="82"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2025, the $15.0 million put options previously classified under current financial liabilities at amortized cost was reclassified to non-current financial liabilities, as the Company has met contractual requirements that resulted in a right to defer settlement beyond 12 months from the reporting date.</w:t>
      </w:r>
    </w:p>
    <w:p>
      <w:pPr>
        <w:spacing w:after="0" w:line="1" w:lineRule="exact"/>
        <w:rPr>
          <w:sz w:val="20"/>
          <w:szCs w:val="20"/>
          <w:color w:val="auto"/>
        </w:rPr>
      </w:pPr>
    </w:p>
    <w:p>
      <w:pPr>
        <w:ind w:left="80" w:right="240" w:hanging="72"/>
        <w:spacing w:after="0" w:line="208" w:lineRule="auto"/>
        <w:tabs>
          <w:tab w:leader="none" w:pos="82"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second quarter ended June 30, 2025, the Company drew down NT$2.0 billion (approximately US$68.3 million) under a loan facility. The balance of non-current borrowings as of December 31, 2025 reflects this drawdown, partially offset by repayments of other bank loans during the year.</w:t>
      </w:r>
    </w:p>
    <w:p>
      <w:pPr>
        <w:sectPr>
          <w:pgSz w:w="11900" w:h="16838" w:orient="portrait"/>
          <w:cols w:equalWidth="0" w:num="1">
            <w:col w:w="1124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00"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 except net loss per share)</w:t>
      </w:r>
    </w:p>
    <w:p>
      <w:pPr>
        <w:spacing w:after="0" w:line="30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1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0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74,399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73,130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310,641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63,786</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78,524</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258,047</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302,711</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(loss)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7,930</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11,794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44,064</w:t>
            </w:r>
          </w:p>
        </w:tc>
        <w:tc>
          <w:tcPr>
            <w:tcW w:w="0" w:type="dxa"/>
            <w:vAlign w:val="bottom"/>
          </w:tcPr>
          <w:p>
            <w:pPr>
              <w:spacing w:after="0"/>
              <w:rPr>
                <w:sz w:val="1"/>
                <w:szCs w:val="1"/>
                <w:color w:val="auto"/>
              </w:rPr>
            </w:pPr>
          </w:p>
        </w:tc>
      </w:tr>
      <w:tr>
        <w:trPr>
          <w:trHeight w:val="195"/>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7,746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31,862</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7,319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9,846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34,942</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expense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7,405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34,923</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38,681</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30,806</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61,809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97,693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149,549</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(20,193)</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(67,203)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(74,260)</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(141,619)</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income and expenses: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(10,952)</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5,729</w:t>
            </w:r>
          </w:p>
        </w:tc>
        <w:tc>
          <w:tcPr>
            <w:tcW w:w="0" w:type="dxa"/>
            <w:vAlign w:val="bottom"/>
          </w:tcPr>
          <w:p>
            <w:pPr>
              <w:spacing w:after="0"/>
              <w:rPr>
                <w:sz w:val="1"/>
                <w:szCs w:val="1"/>
                <w:color w:val="auto"/>
              </w:rPr>
            </w:pPr>
          </w:p>
        </w:tc>
      </w:tr>
      <w:tr>
        <w:trPr>
          <w:trHeight w:val="195"/>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88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28,178</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of income (loss) of investments accounted for using equity method</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non-operating income (expense)</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18,865</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(71,328)</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(80,804)</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(23,966)</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(78,407)</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(72,212)</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(136,700)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share</w:t>
            </w:r>
            <w:r>
              <w:rPr>
                <w:rFonts w:ascii="Times New Roman" w:cs="Times New Roman" w:eastAsia="Times New Roman" w:hAnsi="Times New Roman"/>
                <w:sz w:val="18"/>
                <w:szCs w:val="18"/>
                <w:color w:val="auto"/>
                <w:vertAlign w:val="superscript"/>
              </w:rPr>
              <w:t>5</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6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8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Shares used in computing basic and diluted net loss per share </w:t>
            </w:r>
            <w:r>
              <w:rPr>
                <w:rFonts w:ascii="Times New Roman" w:cs="Times New Roman" w:eastAsia="Times New Roman" w:hAnsi="Times New Roman"/>
                <w:sz w:val="18"/>
                <w:szCs w:val="18"/>
                <w:color w:val="auto"/>
                <w:vertAlign w:val="superscript"/>
              </w:rPr>
              <w:t>5</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14,387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13,249</w:t>
            </w:r>
          </w:p>
        </w:tc>
        <w:tc>
          <w:tcPr>
            <w:tcW w:w="0" w:type="dxa"/>
            <w:vAlign w:val="bottom"/>
          </w:tcPr>
          <w:p>
            <w:pPr>
              <w:spacing w:after="0"/>
              <w:rPr>
                <w:sz w:val="1"/>
                <w:szCs w:val="1"/>
                <w:color w:val="auto"/>
              </w:rPr>
            </w:pPr>
          </w:p>
        </w:tc>
      </w:tr>
      <w:tr>
        <w:trPr>
          <w:trHeight w:val="328"/>
        </w:trPr>
        <w:tc>
          <w:tcPr>
            <w:tcW w:w="4620" w:type="dxa"/>
            <w:vAlign w:val="bottom"/>
          </w:tcPr>
          <w:p>
            <w:pPr>
              <w:spacing w:after="0"/>
              <w:rPr>
                <w:sz w:val="24"/>
                <w:szCs w:val="24"/>
                <w:color w:val="auto"/>
              </w:rPr>
            </w:pPr>
          </w:p>
        </w:tc>
        <w:tc>
          <w:tcPr>
            <w:tcW w:w="31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24"/>
                <w:szCs w:val="24"/>
                <w:color w:val="auto"/>
              </w:rPr>
            </w:pPr>
          </w:p>
        </w:tc>
        <w:tc>
          <w:tcPr>
            <w:tcW w:w="270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36,400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37,240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132,473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172,750</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37,999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35,890</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149,007</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137,891</w:t>
            </w: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74,399</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73,130</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310,641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620" w:type="dxa"/>
            <w:vAlign w:val="bottom"/>
          </w:tcPr>
          <w:p>
            <w:pPr>
              <w:spacing w:after="0"/>
              <w:rPr>
                <w:sz w:val="23"/>
                <w:szCs w:val="23"/>
                <w:color w:val="auto"/>
              </w:rPr>
            </w:pPr>
          </w:p>
        </w:tc>
        <w:tc>
          <w:tcPr>
            <w:tcW w:w="31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23"/>
                <w:szCs w:val="23"/>
                <w:color w:val="auto"/>
              </w:rPr>
            </w:pPr>
          </w:p>
        </w:tc>
        <w:tc>
          <w:tcPr>
            <w:tcW w:w="270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18"/>
                <w:szCs w:val="18"/>
                <w:color w:val="auto"/>
                <w:vertAlign w:val="superscript"/>
              </w:rPr>
              <w:t>6</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1,362</w:t>
            </w:r>
          </w:p>
        </w:tc>
        <w:tc>
          <w:tcPr>
            <w:tcW w:w="0" w:type="dxa"/>
            <w:vAlign w:val="bottom"/>
          </w:tcPr>
          <w:p>
            <w:pPr>
              <w:spacing w:after="0"/>
              <w:rPr>
                <w:sz w:val="1"/>
                <w:szCs w:val="1"/>
                <w:color w:val="auto"/>
              </w:rPr>
            </w:pPr>
          </w:p>
        </w:tc>
      </w:tr>
      <w:tr>
        <w:trPr>
          <w:trHeight w:val="195"/>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1,566</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4,309</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1,588</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4,407</w:t>
            </w: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868</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11,644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26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22" w:lineRule="exact"/>
        <w:rPr>
          <w:sz w:val="20"/>
          <w:szCs w:val="20"/>
          <w:color w:val="auto"/>
        </w:rPr>
      </w:pPr>
    </w:p>
    <w:p>
      <w:pPr>
        <w:ind w:left="80" w:right="240" w:hanging="72"/>
        <w:spacing w:after="0" w:line="183" w:lineRule="auto"/>
        <w:tabs>
          <w:tab w:leader="none" w:pos="82"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October 6, 2025, the Company effected a 1-for-20 share consolidation (reverse stock split) of its ordinary shares. The shares used in computing basic and diluted net loss per share for the three months and year ended December 31, 2025 and 2024 have been retrospectively adjusted in accordance with IAS 33 Earnings per Share.</w:t>
      </w:r>
    </w:p>
    <w:p>
      <w:pPr>
        <w:spacing w:after="0" w:line="1" w:lineRule="exact"/>
        <w:rPr>
          <w:sz w:val="20"/>
          <w:szCs w:val="20"/>
          <w:color w:val="auto"/>
        </w:rPr>
      </w:pPr>
    </w:p>
    <w:p>
      <w:pPr>
        <w:ind w:left="80" w:right="180" w:hanging="72"/>
        <w:spacing w:after="0" w:line="206" w:lineRule="auto"/>
        <w:tabs>
          <w:tab w:leader="none" w:pos="82"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Share-based payment amounts for the three months and year ended 2024 have been adjusted to conform with the Company’s audited 2024 financial statements issued subsequent to the fourth quarter 2024 earnings release. The adjustments are also reflected in the unaudited Reconciliations of IFRS Financial Metrics to Non-IFRS measures for the three-month and full-year periods ended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0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(80,804)</w:t>
            </w:r>
          </w:p>
        </w:tc>
        <w:tc>
          <w:tcPr>
            <w:tcW w:w="220" w:type="dxa"/>
            <w:vAlign w:val="bottom"/>
          </w:tcPr>
          <w:p>
            <w:pPr>
              <w:spacing w:after="0"/>
              <w:rPr>
                <w:sz w:val="16"/>
                <w:szCs w:val="16"/>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90,972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97,008</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(Reversal) recognition of inventory write-down</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losses associated with facilities and receivables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33,996</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(28,178)</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10,952</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w:t>
            </w:r>
          </w:p>
        </w:tc>
      </w:tr>
      <w:tr>
        <w:trPr>
          <w:trHeight w:val="22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 and right-of-use assets, net</w:t>
            </w:r>
            <w:r>
              <w:rPr>
                <w:rFonts w:ascii="Times New Roman" w:cs="Times New Roman" w:eastAsia="Times New Roman" w:hAnsi="Times New Roman"/>
                <w:sz w:val="18"/>
                <w:szCs w:val="18"/>
                <w:color w:val="auto"/>
                <w:vertAlign w:val="superscript"/>
              </w:rPr>
              <w:t>7</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20,836</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Recognition of provisions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receivables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r>
      <w:tr>
        <w:trPr>
          <w:trHeight w:val="203"/>
        </w:trPr>
        <w:tc>
          <w:tcPr>
            <w:tcW w:w="70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Other current assets </w:t>
            </w:r>
            <w:r>
              <w:rPr>
                <w:rFonts w:ascii="Times New Roman" w:cs="Times New Roman" w:eastAsia="Times New Roman" w:hAnsi="Times New Roman"/>
                <w:sz w:val="18"/>
                <w:szCs w:val="18"/>
                <w:color w:val="auto"/>
                <w:vertAlign w:val="superscript"/>
              </w:rPr>
              <w:t>7</w:t>
            </w:r>
          </w:p>
        </w:tc>
        <w:tc>
          <w:tcPr>
            <w:tcW w:w="1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r>
      <w:tr>
        <w:trPr>
          <w:trHeight w:val="20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and trade payables</w:t>
            </w: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(6,096)</w:t>
            </w:r>
          </w:p>
        </w:tc>
      </w:tr>
      <w:tr>
        <w:trPr>
          <w:trHeight w:val="196"/>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1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w:t>
            </w:r>
          </w:p>
        </w:tc>
      </w:tr>
      <w:tr>
        <w:trPr>
          <w:trHeight w:val="20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generated from operations</w:t>
            </w: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20,549</w:t>
            </w:r>
          </w:p>
        </w:tc>
      </w:tr>
      <w:tr>
        <w:trPr>
          <w:trHeight w:val="19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paid, net</w:t>
            </w:r>
          </w:p>
        </w:tc>
        <w:tc>
          <w:tcPr>
            <w:tcW w:w="1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(11,845)</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(10,699)</w:t>
            </w:r>
          </w:p>
        </w:tc>
      </w:tr>
      <w:tr>
        <w:trPr>
          <w:trHeight w:val="203"/>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generated from operating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31,119</w:t>
            </w: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w:t>
            </w: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property, plant and equipment, net</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(123,107)</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(increase) in refundable deposits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intangible assets, net</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3"/>
        </w:trPr>
        <w:tc>
          <w:tcPr>
            <w:tcW w:w="70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Payments for acquisition of investment accounted for using equity method </w:t>
            </w:r>
            <w:r>
              <w:rPr>
                <w:rFonts w:ascii="Times New Roman" w:cs="Times New Roman" w:eastAsia="Times New Roman" w:hAnsi="Times New Roman"/>
                <w:sz w:val="18"/>
                <w:szCs w:val="18"/>
                <w:color w:val="auto"/>
                <w:vertAlign w:val="superscript"/>
              </w:rPr>
              <w:t>8</w:t>
            </w:r>
          </w:p>
        </w:tc>
        <w:tc>
          <w:tcPr>
            <w:tcW w:w="1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(increase) in other financial assets</w:t>
            </w:r>
          </w:p>
        </w:tc>
        <w:tc>
          <w:tcPr>
            <w:tcW w:w="1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r>
      <w:tr>
        <w:trPr>
          <w:trHeight w:val="19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(56,861)</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(128,725)</w:t>
            </w:r>
          </w:p>
        </w:tc>
      </w:tr>
      <w:tr>
        <w:trPr>
          <w:trHeight w:val="18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87,507</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33,826</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(96,807)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(61,550)</w:t>
            </w:r>
          </w:p>
        </w:tc>
      </w:tr>
      <w:tr>
        <w:trPr>
          <w:trHeight w:val="195"/>
        </w:trPr>
        <w:tc>
          <w:tcPr>
            <w:tcW w:w="7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shares</w:t>
            </w:r>
          </w:p>
        </w:tc>
        <w:tc>
          <w:tcPr>
            <w:tcW w:w="120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21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Guarantee deposits received (refund)</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96"/>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Repayment of the principal portion of lease liabilities</w:t>
            </w:r>
          </w:p>
        </w:tc>
        <w:tc>
          <w:tcPr>
            <w:tcW w:w="1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(13,270)</w:t>
            </w:r>
          </w:p>
        </w:tc>
      </w:tr>
      <w:tr>
        <w:trPr>
          <w:trHeight w:val="203"/>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(used in) generated from financing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(22,607)</w:t>
            </w:r>
          </w:p>
        </w:tc>
        <w:tc>
          <w:tcPr>
            <w:tcW w:w="2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33,814</w:t>
            </w:r>
          </w:p>
        </w:tc>
      </w:tr>
      <w:tr>
        <w:trPr>
          <w:trHeight w:val="19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28,324</w:t>
            </w:r>
          </w:p>
        </w:tc>
      </w:tr>
      <w:tr>
        <w:trPr>
          <w:trHeight w:val="20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(56,737)</w:t>
            </w:r>
          </w:p>
        </w:tc>
      </w:tr>
      <w:tr>
        <w:trPr>
          <w:trHeight w:val="19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1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117,148</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173,885</w:t>
            </w:r>
          </w:p>
        </w:tc>
      </w:tr>
      <w:tr>
        <w:trPr>
          <w:trHeight w:val="22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end of the year</w:t>
            </w:r>
          </w:p>
        </w:tc>
        <w:tc>
          <w:tcPr>
            <w:tcW w:w="1200" w:type="dxa"/>
            <w:vAlign w:val="bottom"/>
            <w:tcBorders>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70,574</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117,148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26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22" w:lineRule="exact"/>
        <w:rPr>
          <w:sz w:val="20"/>
          <w:szCs w:val="20"/>
          <w:color w:val="auto"/>
        </w:rPr>
      </w:pPr>
    </w:p>
    <w:p>
      <w:pPr>
        <w:ind w:left="80" w:right="40" w:hanging="72"/>
        <w:spacing w:after="0"/>
        <w:tabs>
          <w:tab w:leader="none" w:pos="82"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identified that an amount of $6.7 million, related to the disposal of PCBA board resulting from battery upgrade initiatives which was previously classified as changes in other current assets, but has been reclassified to loss on disposal of property and equipment all within operating activities, in the comparative period for the year ended 2024. This reclassification had no impact on the net cash generated from operating activities, net change in cash and cash equivalents or on the Company’s condensed consolidated statements of balance sheets, comprehensive income, or equity.</w:t>
      </w:r>
    </w:p>
    <w:p>
      <w:pPr>
        <w:spacing w:after="0" w:line="47" w:lineRule="exact"/>
        <w:rPr>
          <w:sz w:val="20"/>
          <w:szCs w:val="20"/>
          <w:color w:val="auto"/>
        </w:rPr>
      </w:pPr>
    </w:p>
    <w:p>
      <w:pPr>
        <w:ind w:left="80" w:right="180" w:hanging="72"/>
        <w:spacing w:after="0" w:line="200" w:lineRule="auto"/>
        <w:tabs>
          <w:tab w:leader="none" w:pos="82"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September 2025, the Company contributed $1.0 million to a newly formed joint venture in Vietnam pursuant to the joint venture agreement with Castrol BP, to develop and operate electric two-wheeler distribution and battery-swapping services. The investment is accounted for using the equity method in accordance with IAS 28 Investments in Associates and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0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3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Ordinary Shares </w:t>
            </w:r>
            <w:r>
              <w:rPr>
                <w:rFonts w:ascii="Times New Roman" w:cs="Times New Roman" w:eastAsia="Times New Roman" w:hAnsi="Times New Roman"/>
                <w:sz w:val="18"/>
                <w:szCs w:val="18"/>
                <w:b w:val="1"/>
                <w:bCs w:val="1"/>
                <w:color w:val="auto"/>
                <w:vertAlign w:val="superscript"/>
              </w:rPr>
              <w:t>9</w:t>
            </w:r>
          </w:p>
        </w:tc>
        <w:tc>
          <w:tcPr>
            <w:tcW w:w="14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Exchange Difference on</w:t>
            </w:r>
          </w:p>
        </w:tc>
        <w:tc>
          <w:tcPr>
            <w:tcW w:w="160" w:type="dxa"/>
            <w:vAlign w:val="bottom"/>
          </w:tcPr>
          <w:p>
            <w:pPr>
              <w:spacing w:after="0"/>
              <w:rPr>
                <w:sz w:val="13"/>
                <w:szCs w:val="13"/>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4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(548,732)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176,540</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for the year ended December 31, 2025</w:t>
            </w:r>
          </w:p>
        </w:tc>
        <w:tc>
          <w:tcPr>
            <w:tcW w:w="5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(80,804)</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0" w:type="dxa"/>
            <w:vAlign w:val="bottom"/>
          </w:tcPr>
          <w:p>
            <w:pPr>
              <w:spacing w:after="0"/>
              <w:rPr>
                <w:sz w:val="1"/>
                <w:szCs w:val="1"/>
                <w:color w:val="auto"/>
              </w:rPr>
            </w:pPr>
          </w:p>
        </w:tc>
      </w:tr>
      <w:tr>
        <w:trPr>
          <w:trHeight w:val="135"/>
        </w:trPr>
        <w:tc>
          <w:tcPr>
            <w:tcW w:w="3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Changes in percentage of ownership interest in investments</w:t>
            </w:r>
          </w:p>
        </w:tc>
        <w:tc>
          <w:tcPr>
            <w:tcW w:w="56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8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accounted for using equity method</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Shared-based compensation</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737,537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(629,536)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107,405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2263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0" w:right="180" w:hanging="72"/>
        <w:spacing w:after="0" w:line="204" w:lineRule="auto"/>
        <w:tabs>
          <w:tab w:leader="none" w:pos="82"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October 6, 2025, the Company effected a 1-for-20 share consolidation (reverse stock split) of its ordinary shares to increase the per-share trading price and regain compliance with Nasdaq Capital Market minimum bid price requirements. As of December 31, 2025, total post reverse split outstanding shares were 14,773,488.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00"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IFRS Financial Metrics to Non-IFRS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10"/>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IFRS revenue YoY</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40" w:type="dxa"/>
            <w:vAlign w:val="bottom"/>
          </w:tcPr>
          <w:p>
            <w:pPr>
              <w:spacing w:after="0"/>
              <w:rPr>
                <w:sz w:val="12"/>
                <w:szCs w:val="12"/>
                <w:color w:val="auto"/>
              </w:rPr>
            </w:pPr>
          </w:p>
        </w:tc>
        <w:tc>
          <w:tcPr>
            <w:tcW w:w="12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320" w:type="dxa"/>
            <w:vAlign w:val="bottom"/>
            <w:gridSpan w:val="5"/>
            <w:vMerge w:val="continue"/>
          </w:tcPr>
          <w:p>
            <w:pPr>
              <w:spacing w:after="0"/>
              <w:rPr>
                <w:sz w:val="12"/>
                <w:szCs w:val="12"/>
                <w:color w:val="auto"/>
              </w:rPr>
            </w:pPr>
          </w:p>
        </w:tc>
        <w:tc>
          <w:tcPr>
            <w:tcW w:w="12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FX effect YoY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6"/>
            <w:vMerge w:val="continue"/>
          </w:tcPr>
          <w:p>
            <w:pPr>
              <w:spacing w:after="0"/>
              <w:rPr>
                <w:sz w:val="17"/>
                <w:szCs w:val="17"/>
                <w:color w:val="auto"/>
              </w:rPr>
            </w:pPr>
          </w:p>
        </w:tc>
        <w:tc>
          <w:tcPr>
            <w:tcW w:w="13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34,919</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37,999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36,477</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71,396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IFRS revenue YoY</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40" w:type="dxa"/>
            <w:vAlign w:val="bottom"/>
          </w:tcPr>
          <w:p>
            <w:pPr>
              <w:spacing w:after="0"/>
              <w:rPr>
                <w:sz w:val="12"/>
                <w:szCs w:val="12"/>
                <w:color w:val="auto"/>
              </w:rPr>
            </w:pPr>
          </w:p>
        </w:tc>
        <w:tc>
          <w:tcPr>
            <w:tcW w:w="12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320" w:type="dxa"/>
            <w:vAlign w:val="bottom"/>
            <w:gridSpan w:val="5"/>
            <w:vMerge w:val="continue"/>
          </w:tcPr>
          <w:p>
            <w:pPr>
              <w:spacing w:after="0"/>
              <w:rPr>
                <w:sz w:val="12"/>
                <w:szCs w:val="12"/>
                <w:color w:val="auto"/>
              </w:rPr>
            </w:pPr>
          </w:p>
        </w:tc>
        <w:tc>
          <w:tcPr>
            <w:tcW w:w="12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FX effect YoY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6"/>
            <w:vMerge w:val="continue"/>
          </w:tcPr>
          <w:p>
            <w:pPr>
              <w:spacing w:after="0"/>
              <w:rPr>
                <w:sz w:val="17"/>
                <w:szCs w:val="17"/>
                <w:color w:val="auto"/>
              </w:rPr>
            </w:pPr>
          </w:p>
        </w:tc>
        <w:tc>
          <w:tcPr>
            <w:tcW w:w="13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128,228</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172,750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149,007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144,389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137,891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272,617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310,641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and gross margin</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w:t>
            </w:r>
          </w:p>
        </w:tc>
        <w:tc>
          <w:tcPr>
            <w:tcW w:w="2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23,433</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Share-based compensation </w:t>
            </w:r>
            <w:r>
              <w:rPr>
                <w:rFonts w:ascii="Times New Roman" w:cs="Times New Roman" w:eastAsia="Times New Roman" w:hAnsi="Times New Roman"/>
                <w:sz w:val="18"/>
                <w:szCs w:val="18"/>
                <w:color w:val="auto"/>
                <w:vertAlign w:val="superscript"/>
              </w:rPr>
              <w:t>6</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232</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Exit activities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care package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29,860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Non-IFRS gross profit and gross margin</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54,969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gridSpan w:val="6"/>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(20,773)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5"/>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(71,328)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(80,804)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(122,754)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Share-based compensation </w:t>
            </w:r>
            <w:r>
              <w:rPr>
                <w:rFonts w:ascii="Times New Roman" w:cs="Times New Roman" w:eastAsia="Times New Roman" w:hAnsi="Times New Roman"/>
                <w:sz w:val="18"/>
                <w:szCs w:val="18"/>
                <w:color w:val="auto"/>
                <w:vertAlign w:val="superscript"/>
              </w:rPr>
              <w:t>6</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(2,390)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(28,178)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care package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8"/>
              </w:rPr>
              <w:t>14,354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32,255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Exit activities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4,828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Impairment charges</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w w:val="98"/>
              </w:rPr>
              <w:t>33,970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5,798</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33,970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Non-IFRS net loss</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(12,617)</w:t>
            </w: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gridSpan w:val="5"/>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(19,326)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(43,782)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(63,247)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(20,773)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5"/>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(71,328)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(80,804)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(122,754)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12,716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22,444</w:t>
            </w: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8"/>
              </w:rPr>
              <w:t>23,144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90,972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97,008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5"/>
          </w:tcPr>
          <w:p>
            <w:pPr>
              <w:jc w:val="right"/>
              <w:ind w:right="68"/>
              <w:spacing w:after="0"/>
              <w:rPr>
                <w:sz w:val="20"/>
                <w:szCs w:val="20"/>
                <w:color w:val="auto"/>
              </w:rPr>
            </w:pPr>
            <w:r>
              <w:rPr>
                <w:rFonts w:ascii="Times New Roman" w:cs="Times New Roman" w:eastAsia="Times New Roman" w:hAnsi="Times New Roman"/>
                <w:sz w:val="14"/>
                <w:szCs w:val="14"/>
                <w:color w:val="auto"/>
              </w:rPr>
              <w:t>(44,988)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22,884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(14,794)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Share-based compensation </w:t>
            </w:r>
            <w:r>
              <w:rPr>
                <w:rFonts w:ascii="Times New Roman" w:cs="Times New Roman" w:eastAsia="Times New Roman" w:hAnsi="Times New Roman"/>
                <w:sz w:val="18"/>
                <w:szCs w:val="18"/>
                <w:color w:val="auto"/>
                <w:vertAlign w:val="superscript"/>
              </w:rPr>
              <w:t>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11,644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(2,390)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(28,178)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care package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3,327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w w:val="98"/>
              </w:rPr>
              <w:t>14,354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29,860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Exit activities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charges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8"/>
              </w:rPr>
              <w:t>33,970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5,798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33,970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12,908</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7,014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59,906</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44,713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640" w:top="1001" w:right="6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sectPr>
      <w:pgSz w:w="11900" w:h="16838" w:orient="portrait"/>
      <w:cols w:equalWidth="0" w:num="1">
        <w:col w:w="10620"/>
      </w:cols>
      <w:pgMar w:left="640" w:top="100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5"/>
      <w:numFmt w:val="bullet"/>
      <w:start w:val="1"/>
    </w:lvl>
  </w:abstractNum>
  <w:abstractNum w:abstractNumId="12">
    <w:nsid w:val="7FDCC233"/>
    <w:multiLevelType w:val="hybridMultilevel"/>
    <w:lvl w:ilvl="0">
      <w:lvlJc w:val="left"/>
      <w:lvlText w:val="6"/>
      <w:numFmt w:val="bullet"/>
      <w:start w:val="1"/>
    </w:lvl>
  </w:abstractNum>
  <w:abstractNum w:abstractNumId="13">
    <w:nsid w:val="1BEFD79F"/>
    <w:multiLevelType w:val="hybridMultilevel"/>
    <w:lvl w:ilvl="0">
      <w:lvlJc w:val="left"/>
      <w:lvlText w:val="7"/>
      <w:numFmt w:val="bullet"/>
      <w:start w:val="1"/>
    </w:lvl>
  </w:abstractNum>
  <w:abstractNum w:abstractNumId="14">
    <w:nsid w:val="41A7C4C9"/>
    <w:multiLevelType w:val="hybridMultilevel"/>
    <w:lvl w:ilvl="0">
      <w:lvlJc w:val="left"/>
      <w:lvlText w:val="8"/>
      <w:numFmt w:val="bullet"/>
      <w:start w:val="1"/>
    </w:lvl>
  </w:abstractNum>
  <w:abstractNum w:abstractNumId="15">
    <w:nsid w:val="6B68079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2026-02-12T05:22:26Z</dcterms:created>
  <dcterms:modified xsi:type="dcterms:W3CDTF">2026-02-12T05:22:26Z</dcterms:modified>
</cp:coreProperties>
</file>