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1443355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479"/>
        <w:spacing w:after="0"/>
        <w:rPr>
          <w:sz w:val="20"/>
          <w:szCs w:val="20"/>
          <w:color w:val="auto"/>
        </w:rPr>
      </w:pPr>
      <w:r>
        <w:rPr>
          <w:rFonts w:ascii="Arial" w:cs="Arial" w:eastAsia="Arial" w:hAnsi="Arial"/>
          <w:sz w:val="32"/>
          <w:szCs w:val="32"/>
          <w:b w:val="1"/>
          <w:bCs w:val="1"/>
          <w:color w:val="auto"/>
        </w:rPr>
        <w:t>UNITED STATES</w:t>
      </w:r>
    </w:p>
    <w:p>
      <w:pPr>
        <w:jc w:val="center"/>
        <w:ind w:right="-479"/>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ind w:left="43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Report of Foreign Private Issuer</w:t>
      </w:r>
    </w:p>
    <w:p>
      <w:pPr>
        <w:jc w:val="center"/>
        <w:ind w:right="-419"/>
        <w:spacing w:after="0" w:line="204" w:lineRule="auto"/>
        <w:rPr>
          <w:sz w:val="20"/>
          <w:szCs w:val="20"/>
          <w:color w:val="auto"/>
        </w:rPr>
      </w:pPr>
      <w:r>
        <w:rPr>
          <w:rFonts w:ascii="Arial" w:cs="Arial" w:eastAsia="Arial" w:hAnsi="Arial"/>
          <w:sz w:val="22"/>
          <w:szCs w:val="22"/>
          <w:b w:val="1"/>
          <w:bCs w:val="1"/>
          <w:color w:val="auto"/>
        </w:rPr>
        <w:t>Pursuant to Rule 13a-16 or 15d-16</w:t>
      </w:r>
    </w:p>
    <w:p>
      <w:pPr>
        <w:spacing w:after="0" w:line="1"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64"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For the month of November 2022</w:t>
      </w:r>
    </w:p>
    <w:p>
      <w:pPr>
        <w:spacing w:after="0" w:line="198"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Commission File Number: 001-41327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ind w:left="4120"/>
        <w:spacing w:after="0"/>
        <w:rPr>
          <w:sz w:val="20"/>
          <w:szCs w:val="20"/>
          <w:color w:val="auto"/>
        </w:rPr>
      </w:pPr>
      <w:r>
        <w:rPr>
          <w:rFonts w:ascii="Arial" w:cs="Arial" w:eastAsia="Arial" w:hAnsi="Arial"/>
          <w:sz w:val="43"/>
          <w:szCs w:val="43"/>
          <w:b w:val="1"/>
          <w:bCs w:val="1"/>
          <w:color w:val="auto"/>
        </w:rPr>
        <w:t>GOGORO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11F, Building C,</w:t>
      </w:r>
    </w:p>
    <w:p>
      <w:pPr>
        <w:ind w:left="4260"/>
        <w:spacing w:after="0" w:line="205" w:lineRule="auto"/>
        <w:rPr>
          <w:sz w:val="20"/>
          <w:szCs w:val="20"/>
          <w:color w:val="auto"/>
        </w:rPr>
      </w:pPr>
      <w:r>
        <w:rPr>
          <w:rFonts w:ascii="Arial" w:cs="Arial" w:eastAsia="Arial" w:hAnsi="Arial"/>
          <w:sz w:val="18"/>
          <w:szCs w:val="18"/>
          <w:b w:val="1"/>
          <w:bCs w:val="1"/>
          <w:color w:val="auto"/>
        </w:rPr>
        <w:t>No. 225, Section 2, Chang’an E. Rd.</w:t>
      </w:r>
    </w:p>
    <w:p>
      <w:pPr>
        <w:jc w:val="center"/>
        <w:ind w:right="-479"/>
        <w:spacing w:after="0" w:line="204" w:lineRule="auto"/>
        <w:rPr>
          <w:sz w:val="20"/>
          <w:szCs w:val="20"/>
          <w:color w:val="auto"/>
        </w:rPr>
      </w:pPr>
      <w:r>
        <w:rPr>
          <w:rFonts w:ascii="Arial" w:cs="Arial" w:eastAsia="Arial" w:hAnsi="Arial"/>
          <w:sz w:val="18"/>
          <w:szCs w:val="18"/>
          <w:b w:val="1"/>
          <w:bCs w:val="1"/>
          <w:color w:val="auto"/>
        </w:rPr>
        <w:t>SongShan District, Taipei City 105</w:t>
      </w:r>
    </w:p>
    <w:p>
      <w:pPr>
        <w:jc w:val="center"/>
        <w:ind w:right="-479"/>
        <w:spacing w:after="0" w:line="209" w:lineRule="auto"/>
        <w:rPr>
          <w:sz w:val="20"/>
          <w:szCs w:val="20"/>
          <w:color w:val="auto"/>
        </w:rPr>
      </w:pPr>
      <w:r>
        <w:rPr>
          <w:rFonts w:ascii="Arial" w:cs="Arial" w:eastAsia="Arial" w:hAnsi="Arial"/>
          <w:sz w:val="18"/>
          <w:szCs w:val="18"/>
          <w:b w:val="1"/>
          <w:bCs w:val="1"/>
          <w:color w:val="auto"/>
        </w:rPr>
        <w:t>Taiwan</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spacing w:after="0" w:line="338" w:lineRule="exact"/>
        <w:rPr>
          <w:sz w:val="20"/>
          <w:szCs w:val="20"/>
          <w:color w:val="auto"/>
        </w:rPr>
      </w:pPr>
      <w:r>
        <w:rPr>
          <w:rFonts w:ascii="Arial" w:cs="Arial" w:eastAsia="Arial" w:hAnsi="Arial"/>
          <w:sz w:val="17"/>
          <w:szCs w:val="17"/>
          <w:color w:val="auto"/>
        </w:rPr>
        <w:t xml:space="preserve">Indicate by check mark whether the registrant files or will file annual reports under cover of Form 20-F or Form 40-F. Form 20-F </w:t>
      </w:r>
      <w:r>
        <w:rPr>
          <w:rFonts w:ascii="MS PGothic" w:cs="MS PGothic" w:eastAsia="MS PGothic" w:hAnsi="MS PGothic"/>
          <w:sz w:val="17"/>
          <w:szCs w:val="17"/>
          <w:color w:val="auto"/>
        </w:rPr>
        <w:t>☒</w:t>
      </w:r>
      <w:r>
        <w:rPr>
          <w:rFonts w:ascii="Arial" w:cs="Arial" w:eastAsia="Arial" w:hAnsi="Arial"/>
          <w:sz w:val="17"/>
          <w:szCs w:val="17"/>
          <w:color w:val="auto"/>
        </w:rPr>
        <w:t xml:space="preserve"> Form 40-F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12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ectPr>
          <w:pgSz w:w="11900" w:h="16838" w:orient="portrait"/>
          <w:cols w:equalWidth="0" w:num="1">
            <w:col w:w="10780"/>
          </w:cols>
          <w:pgMar w:left="320" w:top="1440" w:right="7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1374775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1443355</wp:posOffset>
            </wp:positionV>
            <wp:extent cx="534924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Gogoro Releases Q3 2022 Business Update</w:t>
      </w:r>
    </w:p>
    <w:p>
      <w:pPr>
        <w:spacing w:after="0" w:line="24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November 10, 2022, Gogoro Inc. issued a press release announcing its financial and operating results for the third quarter ended September 30, 2022. A copy of the press release is furnished herewith as Exhibit 99.1 to this Report on Form 6-K and is incorporated by reference herein.</w:t>
      </w:r>
    </w:p>
    <w:p>
      <w:pPr>
        <w:sectPr>
          <w:pgSz w:w="11900" w:h="16838" w:orient="portrait"/>
          <w:cols w:equalWidth="0" w:num="1">
            <w:col w:w="11200"/>
          </w:cols>
          <w:pgMar w:left="320" w:top="1440" w:right="379" w:bottom="1440" w:gutter="0" w:footer="0" w:header="0"/>
        </w:sectPr>
      </w:pPr>
    </w:p>
    <w:bookmarkStart w:id="2" w:name="page3"/>
    <w:bookmarkEnd w:id="2"/>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5280" w:type="dxa"/>
            <w:vAlign w:val="bottom"/>
            <w:gridSpan w:val="2"/>
          </w:tcPr>
          <w:p>
            <w:pPr>
              <w:ind w:left="3780"/>
              <w:spacing w:after="0"/>
              <w:rPr>
                <w:sz w:val="20"/>
                <w:szCs w:val="20"/>
                <w:color w:val="auto"/>
              </w:rPr>
            </w:pPr>
            <w:r>
              <w:rPr>
                <w:rFonts w:ascii="Arial" w:cs="Arial" w:eastAsia="Arial" w:hAnsi="Arial"/>
                <w:sz w:val="18"/>
                <w:szCs w:val="18"/>
                <w:b w:val="1"/>
                <w:bCs w:val="1"/>
                <w:color w:val="auto"/>
              </w:rPr>
              <w:t>EXHIBITS INDEX</w:t>
            </w:r>
          </w:p>
        </w:tc>
      </w:tr>
      <w:tr>
        <w:trPr>
          <w:trHeight w:val="679"/>
        </w:trPr>
        <w:tc>
          <w:tcPr>
            <w:tcW w:w="10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5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0"/>
        </w:trPr>
        <w:tc>
          <w:tcPr>
            <w:tcW w:w="10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Exhibit Title</w:t>
            </w:r>
          </w:p>
        </w:tc>
      </w:tr>
      <w:tr>
        <w:trPr>
          <w:trHeight w:val="485"/>
        </w:trPr>
        <w:tc>
          <w:tcPr>
            <w:tcW w:w="1080" w:type="dxa"/>
            <w:vAlign w:val="bottom"/>
          </w:tcPr>
          <w:p>
            <w:pPr>
              <w:spacing w:after="0"/>
              <w:rPr>
                <w:sz w:val="20"/>
                <w:szCs w:val="20"/>
                <w:color w:val="auto"/>
              </w:rPr>
            </w:pPr>
            <w:r>
              <w:rPr>
                <w:rFonts w:ascii="Arial" w:cs="Arial" w:eastAsia="Arial" w:hAnsi="Arial"/>
                <w:sz w:val="18"/>
                <w:szCs w:val="18"/>
                <w:color w:val="auto"/>
              </w:rPr>
              <w:t>99.1</w:t>
            </w:r>
          </w:p>
        </w:tc>
        <w:tc>
          <w:tcPr>
            <w:tcW w:w="5280" w:type="dxa"/>
            <w:vAlign w:val="bottom"/>
            <w:gridSpan w:val="2"/>
          </w:tcPr>
          <w:p>
            <w:pPr>
              <w:spacing w:after="0"/>
              <w:rPr>
                <w:sz w:val="20"/>
                <w:szCs w:val="20"/>
                <w:color w:val="auto"/>
              </w:rPr>
            </w:pPr>
            <w:r>
              <w:rPr>
                <w:rFonts w:ascii="Arial" w:cs="Arial" w:eastAsia="Arial" w:hAnsi="Arial"/>
                <w:sz w:val="18"/>
                <w:szCs w:val="18"/>
                <w:color w:val="0000FF"/>
              </w:rPr>
              <w:t>Press release issued by Gogoro Inc., dated November 10, 2022.</w:t>
            </w:r>
          </w:p>
        </w:tc>
      </w:tr>
      <w:tr>
        <w:trPr>
          <w:trHeight w:val="20"/>
        </w:trPr>
        <w:tc>
          <w:tcPr>
            <w:tcW w:w="1080" w:type="dxa"/>
            <w:vAlign w:val="bottom"/>
          </w:tcPr>
          <w:p>
            <w:pPr>
              <w:spacing w:after="0" w:line="20" w:lineRule="exact"/>
              <w:rPr>
                <w:sz w:val="1"/>
                <w:szCs w:val="1"/>
                <w:color w:val="auto"/>
              </w:rPr>
            </w:pPr>
          </w:p>
        </w:tc>
        <w:tc>
          <w:tcPr>
            <w:tcW w:w="45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ectPr>
          <w:pgSz w:w="11900" w:h="16838" w:orient="portrait"/>
          <w:cols w:equalWidth="0" w:num="1">
            <w:col w:w="10119"/>
          </w:cols>
          <w:pgMar w:left="340" w:top="1440" w:right="1440" w:bottom="1440" w:gutter="0" w:footer="0" w:header="0"/>
        </w:sectPr>
      </w:pPr>
    </w:p>
    <w:bookmarkStart w:id="3" w:name="page4"/>
    <w:bookmarkEnd w:id="3"/>
    <w:p>
      <w:pPr>
        <w:ind w:left="5040"/>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Gogoro Inc.</w:t>
      </w:r>
    </w:p>
    <w:p>
      <w:pPr>
        <w:spacing w:after="0" w:line="243" w:lineRule="exact"/>
        <w:rPr>
          <w:sz w:val="20"/>
          <w:szCs w:val="20"/>
          <w:color w:val="auto"/>
        </w:rPr>
      </w:pPr>
    </w:p>
    <w:p>
      <w:pPr>
        <w:ind w:left="20"/>
        <w:spacing w:after="0"/>
        <w:tabs>
          <w:tab w:leader="none" w:pos="604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7"/>
          <w:szCs w:val="17"/>
          <w:color w:val="auto"/>
        </w:rPr>
        <w:t>/s/ Bruce Morrison Aitken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14605</wp:posOffset>
            </wp:positionV>
            <wp:extent cx="3300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Bruce Morrison Aitken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80"/>
          </w:cols>
          <w:pgMar w:left="320" w:top="1404" w:right="129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highlight w:val="white"/>
        </w:rPr>
        <w:t>Gogoro Releases Third Quarter 2022 Financial Results</w:t>
      </w:r>
    </w:p>
    <w:p>
      <w:pPr>
        <w:spacing w:after="0" w:line="200" w:lineRule="exact"/>
        <w:rPr>
          <w:sz w:val="20"/>
          <w:szCs w:val="20"/>
          <w:color w:val="auto"/>
        </w:rPr>
      </w:pPr>
    </w:p>
    <w:p>
      <w:pPr>
        <w:spacing w:after="0" w:line="277" w:lineRule="exact"/>
        <w:rPr>
          <w:sz w:val="20"/>
          <w:szCs w:val="20"/>
          <w:color w:val="auto"/>
        </w:rPr>
      </w:pPr>
    </w:p>
    <w:p>
      <w:pPr>
        <w:ind w:right="640"/>
        <w:spacing w:after="0" w:line="354" w:lineRule="auto"/>
        <w:rPr>
          <w:sz w:val="20"/>
          <w:szCs w:val="20"/>
          <w:color w:val="auto"/>
        </w:rPr>
      </w:pPr>
      <w:r>
        <w:rPr>
          <w:rFonts w:ascii="Arial" w:cs="Arial" w:eastAsia="Arial" w:hAnsi="Arial"/>
          <w:sz w:val="18"/>
          <w:szCs w:val="18"/>
          <w:b w:val="1"/>
          <w:bCs w:val="1"/>
          <w:color w:val="auto"/>
          <w:highlight w:val="white"/>
        </w:rPr>
        <w:t xml:space="preserve">TAIPEI </w:t>
      </w:r>
      <w:r>
        <w:rPr>
          <w:rFonts w:ascii="Arial" w:cs="Arial" w:eastAsia="Arial" w:hAnsi="Arial"/>
          <w:sz w:val="18"/>
          <w:szCs w:val="18"/>
          <w:color w:val="auto"/>
          <w:highlight w:val="white"/>
        </w:rPr>
        <w:t>–</w:t>
      </w:r>
      <w:r>
        <w:rPr>
          <w:rFonts w:ascii="Arial" w:cs="Arial" w:eastAsia="Arial" w:hAnsi="Arial"/>
          <w:sz w:val="18"/>
          <w:szCs w:val="18"/>
          <w:b w:val="1"/>
          <w:bCs w:val="1"/>
          <w:color w:val="auto"/>
          <w:highlight w:val="white"/>
        </w:rPr>
        <w:t xml:space="preserve"> November 10, 2022 </w:t>
      </w:r>
      <w:r>
        <w:rPr>
          <w:rFonts w:ascii="Arial" w:cs="Arial" w:eastAsia="Arial" w:hAnsi="Arial"/>
          <w:sz w:val="18"/>
          <w:szCs w:val="18"/>
          <w:color w:val="auto"/>
          <w:highlight w:val="white"/>
        </w:rPr>
        <w:t>–</w:t>
      </w:r>
      <w:r>
        <w:rPr>
          <w:rFonts w:ascii="Arial" w:cs="Arial" w:eastAsia="Arial" w:hAnsi="Arial"/>
          <w:sz w:val="18"/>
          <w:szCs w:val="18"/>
          <w:b w:val="1"/>
          <w:bCs w:val="1"/>
          <w:color w:val="auto"/>
          <w:highlight w:val="white"/>
        </w:rPr>
        <w:t xml:space="preserve"> </w:t>
      </w:r>
      <w:r>
        <w:rPr>
          <w:rFonts w:ascii="Arial" w:cs="Arial" w:eastAsia="Arial" w:hAnsi="Arial"/>
          <w:sz w:val="18"/>
          <w:szCs w:val="18"/>
          <w:color w:val="auto"/>
        </w:rPr>
        <w:t>Gogoro Inc. (Nasdaq: GGR), a global technology leader in battery swapping ecosystems that enable</w:t>
      </w:r>
      <w:r>
        <w:rPr>
          <w:rFonts w:ascii="Arial" w:cs="Arial" w:eastAsia="Arial" w:hAnsi="Arial"/>
          <w:sz w:val="18"/>
          <w:szCs w:val="18"/>
          <w:b w:val="1"/>
          <w:bCs w:val="1"/>
          <w:color w:val="auto"/>
          <w:highlight w:val="white"/>
        </w:rPr>
        <w:t xml:space="preserve"> </w:t>
      </w:r>
      <w:r>
        <w:rPr>
          <w:rFonts w:ascii="Arial" w:cs="Arial" w:eastAsia="Arial" w:hAnsi="Arial"/>
          <w:sz w:val="18"/>
          <w:szCs w:val="18"/>
          <w:color w:val="auto"/>
        </w:rPr>
        <w:t>sustainable mobility solutions for cities, today released its financial results for its third quarter ended September 30, 2022.</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Summary</w:t>
      </w:r>
    </w:p>
    <w:p>
      <w:pPr>
        <w:spacing w:after="0" w:line="216" w:lineRule="exact"/>
        <w:rPr>
          <w:sz w:val="20"/>
          <w:szCs w:val="20"/>
          <w:color w:val="auto"/>
        </w:rPr>
      </w:pPr>
    </w:p>
    <w:p>
      <w:pPr>
        <w:ind w:left="660" w:right="940" w:hanging="328"/>
        <w:spacing w:after="0" w:line="267" w:lineRule="auto"/>
        <w:tabs>
          <w:tab w:leader="none" w:pos="648"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Revenue of $102.2 million, up 1.5% year-over-year and up 10.7% on a constant currency basis despite the complex macroeconomic environment</w:t>
      </w:r>
    </w:p>
    <w:p>
      <w:pPr>
        <w:spacing w:after="0" w:line="190" w:lineRule="exact"/>
        <w:rPr>
          <w:rFonts w:ascii="Arial" w:cs="Arial" w:eastAsia="Arial" w:hAnsi="Arial"/>
          <w:sz w:val="20"/>
          <w:szCs w:val="20"/>
          <w:color w:val="auto"/>
        </w:rPr>
      </w:pPr>
    </w:p>
    <w:p>
      <w:pPr>
        <w:ind w:left="660" w:right="20" w:hanging="328"/>
        <w:spacing w:after="0" w:line="288" w:lineRule="auto"/>
        <w:tabs>
          <w:tab w:leader="none" w:pos="648"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Gogoro Network revenue of $30.4 million, up 17.7% year-over-year and up 28.5% on a constant currency basis. This demonstrates an increase in our battery swapping subscriber base and the ability of our business model to generate recurring revenue</w:t>
      </w:r>
    </w:p>
    <w:p>
      <w:pPr>
        <w:spacing w:after="0" w:line="144" w:lineRule="exact"/>
        <w:rPr>
          <w:rFonts w:ascii="Arial" w:cs="Arial" w:eastAsia="Arial" w:hAnsi="Arial"/>
          <w:sz w:val="20"/>
          <w:szCs w:val="20"/>
          <w:b w:val="1"/>
          <w:bCs w:val="1"/>
          <w:color w:val="auto"/>
        </w:rPr>
      </w:pPr>
    </w:p>
    <w:p>
      <w:pPr>
        <w:ind w:left="660" w:right="380" w:hanging="328"/>
        <w:spacing w:after="0" w:line="295" w:lineRule="auto"/>
        <w:tabs>
          <w:tab w:leader="none" w:pos="648"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Continued Gogoro Network subscriber growth to more than 505,000 monthly battery swapping subscribers, up 20.8% or 87,000 subscribers year-over year</w:t>
      </w:r>
    </w:p>
    <w:p>
      <w:pPr>
        <w:spacing w:after="0" w:line="177" w:lineRule="exact"/>
        <w:rPr>
          <w:rFonts w:ascii="Arial" w:cs="Arial" w:eastAsia="Arial" w:hAnsi="Arial"/>
          <w:sz w:val="20"/>
          <w:szCs w:val="20"/>
          <w:b w:val="1"/>
          <w:bCs w:val="1"/>
          <w:color w:val="auto"/>
        </w:rPr>
      </w:pPr>
    </w:p>
    <w:p>
      <w:pPr>
        <w:ind w:left="660" w:right="400" w:hanging="328"/>
        <w:spacing w:after="0" w:line="267" w:lineRule="auto"/>
        <w:tabs>
          <w:tab w:leader="none" w:pos="648"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Gross margin of 17.4%, up slightly from 17.3% in the third quarter last year. Non-IFRS gross margin of 20.0%, up 2.7% year-over-year</w:t>
      </w:r>
    </w:p>
    <w:p>
      <w:pPr>
        <w:spacing w:after="0" w:line="190" w:lineRule="exact"/>
        <w:rPr>
          <w:rFonts w:ascii="Arial" w:cs="Arial" w:eastAsia="Arial" w:hAnsi="Arial"/>
          <w:sz w:val="20"/>
          <w:szCs w:val="20"/>
          <w:color w:val="auto"/>
        </w:rPr>
      </w:pPr>
    </w:p>
    <w:p>
      <w:pPr>
        <w:ind w:left="660" w:right="120" w:hanging="328"/>
        <w:spacing w:after="0" w:line="370" w:lineRule="auto"/>
        <w:tabs>
          <w:tab w:leader="none" w:pos="648"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of $56.4 million, up from a net loss of $13.4 million in the same quarter last year, primarily due to a $85.8 million favorable change in the fair value of financial liabilities associated with outstanding earnout, earn-in and warrants</w:t>
      </w:r>
    </w:p>
    <w:p>
      <w:pPr>
        <w:spacing w:after="0" w:line="63" w:lineRule="exact"/>
        <w:rPr>
          <w:rFonts w:ascii="Arial" w:cs="Arial" w:eastAsia="Arial" w:hAnsi="Arial"/>
          <w:sz w:val="18"/>
          <w:szCs w:val="18"/>
          <w:b w:val="1"/>
          <w:bCs w:val="1"/>
          <w:color w:val="auto"/>
        </w:rPr>
      </w:pPr>
    </w:p>
    <w:p>
      <w:pPr>
        <w:ind w:left="660" w:right="660" w:hanging="328"/>
        <w:spacing w:after="0" w:line="309" w:lineRule="auto"/>
        <w:tabs>
          <w:tab w:leader="none" w:pos="648"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Adjusted EBITDA of $9.2 million, down from $15.2 million in the same quarter last year primarily due to $5.0 million investment in operating activities</w:t>
      </w:r>
    </w:p>
    <w:p>
      <w:pPr>
        <w:spacing w:after="0" w:line="109" w:lineRule="exact"/>
        <w:rPr>
          <w:rFonts w:ascii="Arial" w:cs="Arial" w:eastAsia="Arial" w:hAnsi="Arial"/>
          <w:sz w:val="20"/>
          <w:szCs w:val="20"/>
          <w:b w:val="1"/>
          <w:bCs w:val="1"/>
          <w:color w:val="auto"/>
        </w:rPr>
      </w:pPr>
    </w:p>
    <w:p>
      <w:pPr>
        <w:ind w:left="660" w:right="220" w:hanging="328"/>
        <w:spacing w:after="0" w:line="309" w:lineRule="auto"/>
        <w:tabs>
          <w:tab w:leader="none" w:pos="648"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Successfully completed a new $345 million syndicated credit facility and paid off a $182 million old credit facility obligation following the end of the third quarter</w:t>
      </w:r>
    </w:p>
    <w:p>
      <w:pPr>
        <w:spacing w:after="0" w:line="109" w:lineRule="exact"/>
        <w:rPr>
          <w:rFonts w:ascii="Arial" w:cs="Arial" w:eastAsia="Arial" w:hAnsi="Arial"/>
          <w:sz w:val="20"/>
          <w:szCs w:val="20"/>
          <w:b w:val="1"/>
          <w:bCs w:val="1"/>
          <w:color w:val="auto"/>
        </w:rPr>
      </w:pPr>
    </w:p>
    <w:p>
      <w:pPr>
        <w:ind w:left="660" w:right="900" w:hanging="328"/>
        <w:spacing w:after="0" w:line="309" w:lineRule="auto"/>
        <w:tabs>
          <w:tab w:leader="none" w:pos="648"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Gogoro updates full-year revenue guidance of $370.0 million to $390.0 million, reflecting continued macroeconomic headwinds</w:t>
      </w:r>
    </w:p>
    <w:p>
      <w:pPr>
        <w:spacing w:after="0" w:line="116" w:lineRule="exact"/>
        <w:rPr>
          <w:sz w:val="20"/>
          <w:szCs w:val="20"/>
          <w:color w:val="auto"/>
        </w:rPr>
      </w:pPr>
    </w:p>
    <w:p>
      <w:pPr>
        <w:ind w:right="40"/>
        <w:spacing w:after="0" w:line="278" w:lineRule="auto"/>
        <w:rPr>
          <w:sz w:val="20"/>
          <w:szCs w:val="20"/>
          <w:color w:val="auto"/>
        </w:rPr>
      </w:pPr>
      <w:r>
        <w:rPr>
          <w:rFonts w:ascii="Arial" w:cs="Arial" w:eastAsia="Arial" w:hAnsi="Arial"/>
          <w:sz w:val="20"/>
          <w:szCs w:val="20"/>
          <w:color w:val="auto"/>
        </w:rPr>
        <w:t>“Despite challenging economic conditions around the world, we delivered solid Q3 financial results. We are still seeing a strong movement by governments, businesses, and consumers to smarter, cleaner and sustainable energy and transportation, especially in the densely populated cities of Asia. Gogoro Network battery swapping continues to generate strong interest and we are working with local partners in China, Indonesia, India and other new markets,” said Horace Luke, founder, chairman, and chief executive officer of Gogoro. “In the third quarter, we announced a new Singapore-licensed B2B pilot and launched the Gogoro Network and Smartscooters in Tel Aviv, Israel. Last week, we announced our first B2B pilot in Delhi, India with Zypp Electric, India’s leading EV-as-a-Service platform that is expected to be live in December 2022.”</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“Despite the challenging macro-economic conditions, our Q3 results were in line with our guidance, with revenue of $102.2 million and</w:t>
      </w:r>
    </w:p>
    <w:p>
      <w:pPr>
        <w:spacing w:after="0" w:line="63" w:lineRule="exact"/>
        <w:rPr>
          <w:sz w:val="20"/>
          <w:szCs w:val="20"/>
          <w:color w:val="auto"/>
        </w:rPr>
      </w:pPr>
    </w:p>
    <w:p>
      <w:pPr>
        <w:ind w:left="20" w:right="40"/>
        <w:spacing w:after="0" w:line="421" w:lineRule="auto"/>
        <w:rPr>
          <w:sz w:val="20"/>
          <w:szCs w:val="20"/>
          <w:color w:val="auto"/>
        </w:rPr>
      </w:pPr>
      <w:r>
        <w:rPr>
          <w:rFonts w:ascii="Arial" w:cs="Arial" w:eastAsia="Arial" w:hAnsi="Arial"/>
          <w:sz w:val="16"/>
          <w:szCs w:val="16"/>
          <w:color w:val="auto"/>
        </w:rPr>
        <w:t>$111.4 million on a constant currency basis in the third quarter, up 1.5% year-over-year and 10.7% on a constant currency basis. Additionally our Gogoro Network revenue was $30.4 million and $33.2 million on a constant currency basis in the third quarter, an increase of 17.7%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right="80"/>
        <w:spacing w:after="0" w:line="276" w:lineRule="auto"/>
        <w:rPr>
          <w:sz w:val="20"/>
          <w:szCs w:val="20"/>
          <w:color w:val="auto"/>
        </w:rPr>
      </w:pPr>
      <w:r>
        <w:rPr>
          <w:rFonts w:ascii="Arial" w:cs="Arial" w:eastAsia="Arial" w:hAnsi="Arial"/>
          <w:sz w:val="20"/>
          <w:szCs w:val="20"/>
          <w:color w:val="auto"/>
        </w:rPr>
        <w:t>year-over-year and 28.5% on a constant currency basis. We are investing in our existing Taiwan business and are diversifying our revenue streams to enable new markets, channels and business segments to adopt sustainable energy and transportation,” said Bruce Aitken, chief financial officer of Gogoro. “Given the strength of our cash position, the liquidity provided by our new credit facility, and an increased focus on streamlining operational efficiency, we are well positioned to navigate through challenging market conditions while we continue executing across our multiple markets and business lines.”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2022 Financial Overview</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Revenues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For the third quarter, revenue was $102.2 million, up 1.5% year over year and up 10.7% year over year on a constant currency basis. Had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rates remained constant with the average rate of the third quarter of 2021, revenue would have been up by an additional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$9.2 million. Sales of hardware and other revenues for the third quarter was $71.8 million, down 4.1% year over year, and up 4.6% year over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year on a constant currency basis. Gogoro Network revenue for the third quarter was $30.4 million, up 17.7% year over year, and up 28.5%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year over year on a constant currency basis. Total subscribers at the end of third quarter was more than 505,000, up 20.8% from 418,000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subscribers in the same quarter last year. The Gogoro Network revenue increase was primarily due to the accumulating subscriber base and</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the high retention rate of all subscribers.</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Gross Margin</w:t>
      </w:r>
    </w:p>
    <w:p>
      <w:pPr>
        <w:spacing w:after="0" w:line="181" w:lineRule="exact"/>
        <w:rPr>
          <w:sz w:val="20"/>
          <w:szCs w:val="20"/>
          <w:color w:val="auto"/>
        </w:rPr>
      </w:pPr>
    </w:p>
    <w:p>
      <w:pPr>
        <w:ind w:right="80"/>
        <w:spacing w:after="0" w:line="262" w:lineRule="auto"/>
        <w:rPr>
          <w:sz w:val="20"/>
          <w:szCs w:val="20"/>
          <w:color w:val="auto"/>
        </w:rPr>
      </w:pPr>
      <w:r>
        <w:rPr>
          <w:rFonts w:ascii="Arial" w:cs="Arial" w:eastAsia="Arial" w:hAnsi="Arial"/>
          <w:sz w:val="20"/>
          <w:szCs w:val="20"/>
          <w:color w:val="auto"/>
        </w:rPr>
        <w:t>For the third quarter, gross margin was 17.4%, up slightly from 17.3% in the third quarter last year. For the third quarter, non-IFRS gross margin</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20.0%, up from 17.3% in the same quarter last year. The non-IFRS gross margin</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improvement was driven by an increase in the average selling price of our vehicles, favorable changes in our product mix, and the improved cost efficiency of Gogoro's Network operations.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Income (Loss)</w:t>
      </w:r>
    </w:p>
    <w:p>
      <w:pPr>
        <w:spacing w:after="0" w:line="195" w:lineRule="exact"/>
        <w:rPr>
          <w:sz w:val="20"/>
          <w:szCs w:val="20"/>
          <w:color w:val="auto"/>
        </w:rPr>
      </w:pPr>
    </w:p>
    <w:p>
      <w:pPr>
        <w:ind w:right="60"/>
        <w:spacing w:after="0" w:line="299" w:lineRule="auto"/>
        <w:rPr>
          <w:sz w:val="20"/>
          <w:szCs w:val="20"/>
          <w:color w:val="auto"/>
        </w:rPr>
      </w:pPr>
      <w:r>
        <w:rPr>
          <w:rFonts w:ascii="Arial" w:cs="Arial" w:eastAsia="Arial" w:hAnsi="Arial"/>
          <w:sz w:val="18"/>
          <w:szCs w:val="18"/>
          <w:color w:val="auto"/>
        </w:rPr>
        <w:t>For the third quarter, net income was $56.4 million, up $69.8 million from a net loss of $13.4 million in the same quarter last year. This was primarily due to a favorable change in the fair value of financial liabilities of $85.8 million in the third quarter compared to $1.7 million loss in the same quarter last year. This was partially offset by a $11.4 million increase in share-based compensation, a $2.1 million increase in sales and marketing expenses mainly due to increase spending in retail marketing campaigns and product launches, a $1.8 million increase in research and development expenses mainly due to increased spending on materials and samples for new Smartscooter models, and a $1.0 million increase in general and administrative expenses. Non-IFRS net loss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$16.3 million, up $4.6 million from $11.7 million in the same quarter last year. This was primarily due to $4.9 million investment in operating activities.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Adjusted EBITDA</w:t>
      </w:r>
    </w:p>
    <w:p>
      <w:pPr>
        <w:spacing w:after="0" w:line="208" w:lineRule="exact"/>
        <w:rPr>
          <w:sz w:val="20"/>
          <w:szCs w:val="20"/>
          <w:color w:val="auto"/>
        </w:rPr>
      </w:pPr>
    </w:p>
    <w:p>
      <w:pPr>
        <w:ind w:left="20" w:right="40"/>
        <w:spacing w:after="0" w:line="243" w:lineRule="auto"/>
        <w:rPr>
          <w:sz w:val="20"/>
          <w:szCs w:val="20"/>
          <w:color w:val="auto"/>
        </w:rPr>
      </w:pPr>
      <w:r>
        <w:rPr>
          <w:rFonts w:ascii="Arial" w:cs="Arial" w:eastAsia="Arial" w:hAnsi="Arial"/>
          <w:sz w:val="20"/>
          <w:szCs w:val="20"/>
          <w:color w:val="auto"/>
        </w:rPr>
        <w:t>For the third quarter, 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$9.2 million, down from $15.2 million in the same quarter last year. The decrease was primarily due to a $2.1 million increase in expenses for 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1714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0" w:lineRule="exact"/>
        <w:rPr>
          <w:sz w:val="20"/>
          <w:szCs w:val="20"/>
          <w:color w:val="auto"/>
        </w:rPr>
      </w:pPr>
    </w:p>
    <w:p>
      <w:pPr>
        <w:ind w:left="180" w:right="460" w:hanging="107"/>
        <w:spacing w:after="0" w:line="319" w:lineRule="auto"/>
        <w:tabs>
          <w:tab w:leader="none" w:pos="166" w:val="left"/>
        </w:tabs>
        <w:numPr>
          <w:ilvl w:val="0"/>
          <w:numId w:val="2"/>
        </w:numPr>
        <w:rPr>
          <w:rFonts w:ascii="Arial" w:cs="Arial" w:eastAsia="Arial" w:hAnsi="Arial"/>
          <w:sz w:val="9"/>
          <w:szCs w:val="9"/>
          <w:color w:val="auto"/>
        </w:rPr>
      </w:pPr>
      <w:r>
        <w:rPr>
          <w:rFonts w:ascii="Arial" w:cs="Arial" w:eastAsia="Arial" w:hAnsi="Arial"/>
          <w:sz w:val="14"/>
          <w:szCs w:val="14"/>
          <w:color w:val="auto"/>
        </w:rPr>
        <w:t xml:space="preserve">This is a non-IFRS measure, see </w:t>
      </w:r>
      <w:r>
        <w:rPr>
          <w:rFonts w:ascii="Arial" w:cs="Arial" w:eastAsia="Arial" w:hAnsi="Arial"/>
          <w:sz w:val="14"/>
          <w:szCs w:val="14"/>
          <w:b w:val="1"/>
          <w:bCs w:val="1"/>
          <w:color w:val="auto"/>
        </w:rPr>
        <w:t>Use of Non-IFRS Financial Measures</w:t>
      </w:r>
      <w:r>
        <w:rPr>
          <w:rFonts w:ascii="Arial" w:cs="Arial" w:eastAsia="Arial" w:hAnsi="Arial"/>
          <w:sz w:val="14"/>
          <w:szCs w:val="14"/>
          <w:color w:val="auto"/>
        </w:rPr>
        <w:t xml:space="preserve"> for a description of the non-IFRS measures and </w:t>
      </w:r>
      <w:r>
        <w:rPr>
          <w:rFonts w:ascii="Arial" w:cs="Arial" w:eastAsia="Arial" w:hAnsi="Arial"/>
          <w:sz w:val="14"/>
          <w:szCs w:val="14"/>
          <w:b w:val="1"/>
          <w:bCs w:val="1"/>
          <w:color w:val="auto"/>
        </w:rPr>
        <w:t>Reconciliation of IFRS Financial Metrics to Non-IFRS</w:t>
      </w:r>
      <w:r>
        <w:rPr>
          <w:rFonts w:ascii="Arial" w:cs="Arial" w:eastAsia="Arial" w:hAnsi="Arial"/>
          <w:sz w:val="14"/>
          <w:szCs w:val="14"/>
          <w:color w:val="auto"/>
        </w:rPr>
        <w:t xml:space="preserve"> for a reconciliation of the company’s non-IFRS financial measures to their most directly comparable IFRS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4"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right="140"/>
        <w:spacing w:after="0" w:line="288" w:lineRule="auto"/>
        <w:rPr>
          <w:sz w:val="20"/>
          <w:szCs w:val="20"/>
          <w:color w:val="auto"/>
        </w:rPr>
      </w:pPr>
      <w:r>
        <w:rPr>
          <w:rFonts w:ascii="Arial" w:cs="Arial" w:eastAsia="Arial" w:hAnsi="Arial"/>
          <w:sz w:val="20"/>
          <w:szCs w:val="20"/>
          <w:color w:val="auto"/>
        </w:rPr>
        <w:t>programs, a $1.8 million increase in research and development expenses and a $1.0 million increase in general and administrative expenses, as well as a negative foreign exchange impact.</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w:t>
      </w:r>
    </w:p>
    <w:p>
      <w:pPr>
        <w:spacing w:after="0" w:line="249" w:lineRule="exact"/>
        <w:rPr>
          <w:sz w:val="20"/>
          <w:szCs w:val="20"/>
          <w:color w:val="auto"/>
        </w:rPr>
      </w:pPr>
    </w:p>
    <w:p>
      <w:pPr>
        <w:ind w:right="180"/>
        <w:spacing w:after="0" w:line="279" w:lineRule="auto"/>
        <w:rPr>
          <w:sz w:val="20"/>
          <w:szCs w:val="20"/>
          <w:color w:val="auto"/>
        </w:rPr>
      </w:pPr>
      <w:r>
        <w:rPr>
          <w:rFonts w:ascii="Arial" w:cs="Arial" w:eastAsia="Arial" w:hAnsi="Arial"/>
          <w:sz w:val="20"/>
          <w:szCs w:val="20"/>
          <w:color w:val="auto"/>
        </w:rPr>
        <w:t>With the addition of a new $345 million credit facility and a $249.1 million cash balance at the end of the third quarter, we are well positioned to manage our liquidity in what is currently a complex macro environment. A majority of our payment obligations are denominated in the New Taiwan Dollar (TWD) and we benefited greatly from the appreciation of $193.1 million cash denominated in USD since early April 2022.</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Updated 2022 Guidance</w:t>
      </w:r>
    </w:p>
    <w:p>
      <w:pPr>
        <w:spacing w:after="0" w:line="249" w:lineRule="exact"/>
        <w:rPr>
          <w:sz w:val="20"/>
          <w:szCs w:val="20"/>
          <w:color w:val="auto"/>
        </w:rPr>
      </w:pPr>
    </w:p>
    <w:p>
      <w:pPr>
        <w:ind w:right="20"/>
        <w:spacing w:after="0" w:line="316" w:lineRule="auto"/>
        <w:rPr>
          <w:sz w:val="20"/>
          <w:szCs w:val="20"/>
          <w:color w:val="auto"/>
        </w:rPr>
      </w:pPr>
      <w:r>
        <w:rPr>
          <w:rFonts w:ascii="Arial" w:cs="Arial" w:eastAsia="Arial" w:hAnsi="Arial"/>
          <w:sz w:val="19"/>
          <w:szCs w:val="19"/>
          <w:color w:val="auto"/>
        </w:rPr>
        <w:t>To reflect continued macroeconomic headwinds and the impact on the overall Taiwan vehicle market, we updated our 2022 revenue guidance to $370.0 million to $390.0 million. Nearly all of Gogoro’s 2022 full year revenue will be from the Taiwan market.</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highlight w:val="white"/>
        </w:rPr>
        <w:t>Conference Call Information</w:t>
      </w:r>
    </w:p>
    <w:p>
      <w:pPr>
        <w:spacing w:after="0" w:line="235"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Gogoro's management team will hold an earnings Webcast on November 10</w:t>
      </w:r>
      <w:r>
        <w:rPr>
          <w:rFonts w:ascii="Arial" w:cs="Arial" w:eastAsia="Arial" w:hAnsi="Arial"/>
          <w:sz w:val="25"/>
          <w:szCs w:val="25"/>
          <w:color w:val="auto"/>
          <w:vertAlign w:val="superscript"/>
        </w:rPr>
        <w:t>th</w:t>
      </w:r>
      <w:r>
        <w:rPr>
          <w:rFonts w:ascii="Arial" w:cs="Arial" w:eastAsia="Arial" w:hAnsi="Arial"/>
          <w:sz w:val="20"/>
          <w:szCs w:val="20"/>
          <w:color w:val="auto"/>
        </w:rPr>
        <w:t>, 2022, at 7:00 a.m. Eastern Time to discuss the Company's third quarter 2022 financial and business results and outlook.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Investors may access the webcast, supplemental financial information and investor presentation at Gogoro’s investor relations website</w:t>
      </w:r>
    </w:p>
    <w:p>
      <w:pPr>
        <w:spacing w:after="0" w:line="63" w:lineRule="exact"/>
        <w:rPr>
          <w:sz w:val="20"/>
          <w:szCs w:val="20"/>
          <w:color w:val="auto"/>
        </w:rPr>
      </w:pPr>
    </w:p>
    <w:p>
      <w:pPr>
        <w:ind w:right="240"/>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color w:val="0E32E1"/>
        </w:rPr>
        <w:t>https://investor.gogoro.com</w:t>
      </w:r>
      <w:r>
        <w:rPr>
          <w:rFonts w:ascii="Arial" w:cs="Arial" w:eastAsia="Arial" w:hAnsi="Arial"/>
          <w:sz w:val="20"/>
          <w:szCs w:val="20"/>
          <w:color w:val="auto"/>
        </w:rPr>
        <w:t>) under the “Events” section. A replay of the investor presentation and the earnings call script will be available 24 hours after the conclusion of the webcast and archived for one year.</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highlight w:val="white"/>
        </w:rPr>
        <w:t>About Gogoro</w:t>
      </w:r>
    </w:p>
    <w:p>
      <w:pPr>
        <w:spacing w:after="0" w:line="249" w:lineRule="exact"/>
        <w:rPr>
          <w:sz w:val="20"/>
          <w:szCs w:val="20"/>
          <w:color w:val="auto"/>
        </w:rPr>
      </w:pPr>
    </w:p>
    <w:p>
      <w:pPr>
        <w:ind w:right="160"/>
        <w:spacing w:after="0" w:line="313" w:lineRule="auto"/>
        <w:rPr>
          <w:sz w:val="20"/>
          <w:szCs w:val="20"/>
          <w:color w:val="auto"/>
        </w:rPr>
      </w:pPr>
      <w:r>
        <w:rPr>
          <w:rFonts w:ascii="Arial" w:cs="Arial" w:eastAsia="Arial" w:hAnsi="Arial"/>
          <w:sz w:val="18"/>
          <w:szCs w:val="18"/>
          <w:color w:val="auto"/>
          <w:highlight w:val="white"/>
        </w:rPr>
        <w:t xml:space="preserve">Founded in 2011 to rethink urban energy and inspire the world to move through cities in smarter and more sustainable ways, Gogoro leverages the power of innovation to change the way urban energy is distributed and consumed. Gogoro’s battery swapping and vehicle platforms offer a smart, proven and sustainable long-term ecosystem for delivering a new approach to urban mobility. Gogoro has quickly become an innovation leader in vehicle design and electric propulsion, smart battery design, battery swapping, and advanced cloud services that utilize artificial intelligence to manage battery availability and safety. The challenge is massive, but the opportunity to disrupt the status quo, establish new standards, and achieve new levels of sustainable transportation growth in densely populated cities is even greater. For more information, visit </w:t>
      </w:r>
      <w:r>
        <w:rPr>
          <w:rFonts w:ascii="Arial" w:cs="Arial" w:eastAsia="Arial" w:hAnsi="Arial"/>
          <w:sz w:val="18"/>
          <w:szCs w:val="18"/>
          <w:color w:val="0E32E1"/>
          <w:highlight w:val="white"/>
        </w:rPr>
        <w:t>https://www.gogoro.com/news</w:t>
      </w:r>
      <w:r>
        <w:rPr>
          <w:rFonts w:ascii="Arial" w:cs="Arial" w:eastAsia="Arial" w:hAnsi="Arial"/>
          <w:sz w:val="18"/>
          <w:szCs w:val="18"/>
          <w:color w:val="auto"/>
          <w:highlight w:val="white"/>
        </w:rPr>
        <w:t xml:space="preserve"> and follow Gogoro on Twitter: </w:t>
      </w:r>
      <w:r>
        <w:rPr>
          <w:rFonts w:ascii="Arial" w:cs="Arial" w:eastAsia="Arial" w:hAnsi="Arial"/>
          <w:sz w:val="18"/>
          <w:szCs w:val="18"/>
          <w:i w:val="1"/>
          <w:iCs w:val="1"/>
          <w:color w:val="0E32E1"/>
          <w:highlight w:val="white"/>
        </w:rPr>
        <w:t>@wearegogoro</w:t>
      </w:r>
      <w:r>
        <w:rPr>
          <w:rFonts w:ascii="Arial" w:cs="Arial" w:eastAsia="Arial" w:hAnsi="Arial"/>
          <w:sz w:val="18"/>
          <w:szCs w:val="18"/>
          <w:color w:val="auto"/>
          <w:highlight w:val="white"/>
        </w:rPr>
        <w:t>.</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highlight w:val="white"/>
        </w:rPr>
        <w:t>Forward Looking Statements</w:t>
      </w:r>
    </w:p>
    <w:p>
      <w:pPr>
        <w:spacing w:after="0" w:line="249" w:lineRule="exact"/>
        <w:rPr>
          <w:sz w:val="20"/>
          <w:szCs w:val="20"/>
          <w:color w:val="auto"/>
        </w:rPr>
      </w:pPr>
    </w:p>
    <w:p>
      <w:pPr>
        <w:ind w:right="120"/>
        <w:spacing w:after="0" w:line="274" w:lineRule="auto"/>
        <w:rPr>
          <w:sz w:val="20"/>
          <w:szCs w:val="20"/>
          <w:color w:val="auto"/>
        </w:rPr>
      </w:pPr>
      <w:r>
        <w:rPr>
          <w:rFonts w:ascii="Arial" w:cs="Arial" w:eastAsia="Arial" w:hAnsi="Arial"/>
          <w:sz w:val="20"/>
          <w:szCs w:val="20"/>
          <w:color w:val="auto"/>
          <w:highlight w:val="white"/>
        </w:rPr>
        <w:t>This communication contains forward looking statements within the meaning of Section 27A of the Securities Act of 1933, as amended, and Section 21E of the Securities Exchange Act of 1934, as amended. Forward looking statements generally relate to future events or Gogoro's future financial or operating performance. In some cases, you can identify forward looking statements because they contain words such as "may," "will," "should," "expects," "plans," "anticipates,” “going to,” "could," "intends," "target," "projects," "contemplates," "believes," "estimates," "predicts," "potential" or "continue" or the negative of these words or other similar terms or expressions that concern Gogoro's expectations,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4"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0"/>
        <w:spacing w:after="0" w:line="311" w:lineRule="auto"/>
        <w:rPr>
          <w:sz w:val="20"/>
          <w:szCs w:val="20"/>
          <w:color w:val="auto"/>
        </w:rPr>
      </w:pPr>
      <w:r>
        <w:rPr>
          <w:rFonts w:ascii="Arial" w:cs="Arial" w:eastAsia="Arial" w:hAnsi="Arial"/>
          <w:sz w:val="18"/>
          <w:szCs w:val="18"/>
          <w:color w:val="auto"/>
          <w:highlight w:val="white"/>
        </w:rPr>
        <w:t xml:space="preserve">priorities, plans or intentions. Forward-looking statements in this communication include, but are not limited to, </w:t>
      </w:r>
      <w:r>
        <w:rPr>
          <w:rFonts w:ascii="Arial" w:cs="Arial" w:eastAsia="Arial" w:hAnsi="Arial"/>
          <w:sz w:val="18"/>
          <w:szCs w:val="18"/>
          <w:color w:val="auto"/>
        </w:rPr>
        <w:t>statements in the section</w:t>
      </w:r>
      <w:r>
        <w:rPr>
          <w:rFonts w:ascii="Arial" w:cs="Arial" w:eastAsia="Arial" w:hAnsi="Arial"/>
          <w:sz w:val="18"/>
          <w:szCs w:val="18"/>
          <w:color w:val="auto"/>
          <w:highlight w:val="white"/>
        </w:rPr>
        <w:t xml:space="preserve"> </w:t>
      </w:r>
      <w:r>
        <w:rPr>
          <w:rFonts w:ascii="Arial" w:cs="Arial" w:eastAsia="Arial" w:hAnsi="Arial"/>
          <w:sz w:val="18"/>
          <w:szCs w:val="18"/>
          <w:color w:val="auto"/>
        </w:rPr>
        <w:t xml:space="preserve">entitled, "Updated 2022 Guidance," such as estimates regarding revenue and Gogoro's revenue generated from the Taiwan market, statements regarding the sufficiency of Gogoro's cash resources, </w:t>
      </w:r>
      <w:r>
        <w:rPr>
          <w:rFonts w:ascii="Arial" w:cs="Arial" w:eastAsia="Arial" w:hAnsi="Arial"/>
          <w:sz w:val="18"/>
          <w:szCs w:val="18"/>
          <w:color w:val="auto"/>
          <w:highlight w:val="white"/>
        </w:rPr>
        <w:t>Gogoro’s beliefs regarding Gogoro’s future operating performance including its ability</w:t>
      </w:r>
      <w:r>
        <w:rPr>
          <w:rFonts w:ascii="Arial" w:cs="Arial" w:eastAsia="Arial" w:hAnsi="Arial"/>
          <w:sz w:val="18"/>
          <w:szCs w:val="18"/>
          <w:color w:val="auto"/>
        </w:rPr>
        <w:t xml:space="preserve"> </w:t>
      </w:r>
      <w:r>
        <w:rPr>
          <w:rFonts w:ascii="Arial" w:cs="Arial" w:eastAsia="Arial" w:hAnsi="Arial"/>
          <w:sz w:val="18"/>
          <w:szCs w:val="18"/>
          <w:color w:val="auto"/>
          <w:highlight w:val="white"/>
        </w:rPr>
        <w:t>to grow its subscriber base, projections of market opportunity and market share, potential growth of Gogoro's battery swapping ecosystem in Taiwan and in new markets, timing of Gogoro's launch in India, the capability of Gogoro’s technology</w:t>
      </w:r>
      <w:r>
        <w:rPr>
          <w:rFonts w:ascii="Arial" w:cs="Arial" w:eastAsia="Arial" w:hAnsi="Arial"/>
          <w:sz w:val="18"/>
          <w:szCs w:val="18"/>
          <w:color w:val="auto"/>
        </w:rPr>
        <w:t>, Gogoro’s business plans including its</w:t>
      </w:r>
      <w:r>
        <w:rPr>
          <w:rFonts w:ascii="Arial" w:cs="Arial" w:eastAsia="Arial" w:hAnsi="Arial"/>
          <w:sz w:val="18"/>
          <w:szCs w:val="18"/>
          <w:color w:val="auto"/>
          <w:highlight w:val="white"/>
        </w:rPr>
        <w:t xml:space="preserve"> </w:t>
      </w:r>
      <w:r>
        <w:rPr>
          <w:rFonts w:ascii="Arial" w:cs="Arial" w:eastAsia="Arial" w:hAnsi="Arial"/>
          <w:sz w:val="18"/>
          <w:szCs w:val="18"/>
          <w:color w:val="auto"/>
        </w:rPr>
        <w:t>plans to grow and expand in Taiwan and internationally, the expected use of proceeds from the merger, and statements by Gogoro's founder, chairman, and chief executive officer and Gogoro's chief financial officer.</w:t>
      </w:r>
    </w:p>
    <w:p>
      <w:pPr>
        <w:spacing w:after="0" w:line="201" w:lineRule="exact"/>
        <w:rPr>
          <w:sz w:val="20"/>
          <w:szCs w:val="20"/>
          <w:color w:val="auto"/>
        </w:rPr>
      </w:pPr>
    </w:p>
    <w:p>
      <w:pPr>
        <w:ind w:right="20"/>
        <w:spacing w:after="0" w:line="305" w:lineRule="auto"/>
        <w:rPr>
          <w:sz w:val="20"/>
          <w:szCs w:val="20"/>
          <w:color w:val="auto"/>
        </w:rPr>
      </w:pPr>
      <w:r>
        <w:rPr>
          <w:rFonts w:ascii="Arial" w:cs="Arial" w:eastAsia="Arial" w:hAnsi="Arial"/>
          <w:sz w:val="18"/>
          <w:szCs w:val="18"/>
          <w:color w:val="auto"/>
        </w:rPr>
        <w:t>Gogoro’s expectations and beliefs regarding these matters may not materialize, and actual results in future periods are subject to risks and uncertainties that could cause actual results to differ materially from those projected, including risks related to the impact of the COVID-19 pandemic, risks related to macroeconomic factors including inflation and consumer confidence, risks related to the Taiwan scooter market, risks related to political tensions, Gogoro’s ability to effectively manage its growth, Gogoro’s ability to launch and ramp up the production of its products and control its manufacturing costs and manage its supply chain issues, Gogoro’s risks related to ability to expand its sales and marketing abilities, Gogoro’s ability to expand effectively into new markets, foreign exchange fluctuations, Gogoro’s ability to develop and maintain relationships with its partners, risks related to operating in the PRC, regulatory risks and Gogoro’s risks related to strategic collaborations, risks related to the Taiwan market, China market and other international markets, alliances or joint ventures including Gogoro’s ability to enter into and execute its plans related to strategic collaborations, alliances or joint ventures in order for such strategic collaborations, alliances or joint ventures to be successful and generate revenue, the ability of Gogoro to be successful in the B2B market, risks related to Gogoro's ability to achieve operational efficiencies, Gogoro's ability to raise additional capital, the risks related to the need for Gogoro to invest more capital in strategic collaborations, alliances or joint ventures, risks relating to the impact of foreign exchange and the risk of Gogoro having to update the accounting treatment for its joint ventures. The forward looking statements contained in this communication are also subject to other risks and uncertainties, including those more fully described in Gogoro's filings with the Securities and Exchange Commission (“SEC”), including in Gogoro’s Form 20-F for the year ended December 31, 2021, which was filed on May 2, 2022 and in its subsequent filings with the SEC, copies of which are available on our website and on the SEC's website at www.sec.gov. The forward looking statements in this communication are based on information available to Gogoro as of the date hereof, and Gogoro disclaims any obligation to update any forward looking statements, except as required by law.</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Non-IFRS Financial Measures</w:t>
      </w:r>
    </w:p>
    <w:p>
      <w:pPr>
        <w:spacing w:after="0" w:line="276" w:lineRule="exact"/>
        <w:rPr>
          <w:sz w:val="20"/>
          <w:szCs w:val="20"/>
          <w:color w:val="auto"/>
        </w:rPr>
      </w:pPr>
    </w:p>
    <w:p>
      <w:pPr>
        <w:jc w:val="both"/>
        <w:ind w:right="240"/>
        <w:spacing w:after="0" w:line="285" w:lineRule="auto"/>
        <w:rPr>
          <w:sz w:val="20"/>
          <w:szCs w:val="20"/>
          <w:color w:val="auto"/>
        </w:rPr>
      </w:pPr>
      <w:r>
        <w:rPr>
          <w:rFonts w:ascii="Arial" w:cs="Arial" w:eastAsia="Arial" w:hAnsi="Arial"/>
          <w:sz w:val="20"/>
          <w:szCs w:val="20"/>
          <w:color w:val="auto"/>
        </w:rPr>
        <w:t>This press release and accompanying tables contain certain non-International Financial Reporting Standards as issued by the International Accounting Standards Board (collectively, “IFRS”) financial measures including foreign exchange effect on operating revenues, non-IFRS gross profit, non-IFRS gross margin, Non-IFRS Net Loss, EBITDA and Adjusted EBITDA.</w:t>
      </w:r>
    </w:p>
    <w:p>
      <w:pPr>
        <w:spacing w:after="0" w:line="201" w:lineRule="exact"/>
        <w:rPr>
          <w:sz w:val="20"/>
          <w:szCs w:val="20"/>
          <w:color w:val="auto"/>
        </w:rPr>
      </w:pPr>
    </w:p>
    <w:p>
      <w:pPr>
        <w:ind w:right="220"/>
        <w:spacing w:after="0" w:line="286" w:lineRule="auto"/>
        <w:rPr>
          <w:sz w:val="20"/>
          <w:szCs w:val="20"/>
          <w:color w:val="auto"/>
        </w:rPr>
      </w:pPr>
      <w:r>
        <w:rPr>
          <w:rFonts w:ascii="Arial" w:cs="Arial" w:eastAsia="Arial" w:hAnsi="Arial"/>
          <w:sz w:val="20"/>
          <w:szCs w:val="20"/>
          <w:b w:val="1"/>
          <w:bCs w:val="1"/>
          <w:color w:val="auto"/>
        </w:rPr>
        <w:t xml:space="preserve">Foreign exchange ("FX") effect on operating revenues. </w:t>
      </w:r>
      <w:r>
        <w:rPr>
          <w:rFonts w:ascii="Arial" w:cs="Arial" w:eastAsia="Arial" w:hAnsi="Arial"/>
          <w:sz w:val="20"/>
          <w:szCs w:val="20"/>
          <w:color w:val="auto"/>
        </w:rPr>
        <w:t>We compare the dollar amount and the percent change in the operating revenues</w:t>
      </w:r>
      <w:r>
        <w:rPr>
          <w:rFonts w:ascii="Arial" w:cs="Arial" w:eastAsia="Arial" w:hAnsi="Arial"/>
          <w:sz w:val="20"/>
          <w:szCs w:val="20"/>
          <w:b w:val="1"/>
          <w:bCs w:val="1"/>
          <w:color w:val="auto"/>
        </w:rPr>
        <w:t xml:space="preserve"> </w:t>
      </w:r>
      <w:r>
        <w:rPr>
          <w:rFonts w:ascii="Arial" w:cs="Arial" w:eastAsia="Arial" w:hAnsi="Arial"/>
          <w:sz w:val="20"/>
          <w:szCs w:val="20"/>
          <w:color w:val="auto"/>
        </w:rPr>
        <w:t>from period to another period using constant currency disclosure. We present constant currency information to provide a framework for assessing how our underlying revenues performed excluding the effect of foreign currency rate fluctuations. To present this information,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4"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20"/>
        <w:spacing w:after="0" w:line="288" w:lineRule="auto"/>
        <w:rPr>
          <w:sz w:val="20"/>
          <w:szCs w:val="20"/>
          <w:color w:val="auto"/>
        </w:rPr>
      </w:pPr>
      <w:r>
        <w:rPr>
          <w:rFonts w:ascii="Arial" w:cs="Arial" w:eastAsia="Arial" w:hAnsi="Arial"/>
          <w:sz w:val="20"/>
          <w:szCs w:val="20"/>
          <w:color w:val="auto"/>
        </w:rPr>
        <w:t>period operating revenues for entities reporting in currencies other than USD are converted into USD at the average exchange rates from the equivalent periods last year.</w:t>
      </w:r>
    </w:p>
    <w:p>
      <w:pPr>
        <w:spacing w:after="0" w:line="212" w:lineRule="exact"/>
        <w:rPr>
          <w:sz w:val="20"/>
          <w:szCs w:val="20"/>
          <w:color w:val="auto"/>
        </w:rPr>
      </w:pPr>
    </w:p>
    <w:p>
      <w:pPr>
        <w:ind w:right="580"/>
        <w:spacing w:after="0" w:line="295" w:lineRule="auto"/>
        <w:rPr>
          <w:sz w:val="20"/>
          <w:szCs w:val="20"/>
          <w:color w:val="auto"/>
        </w:rPr>
      </w:pPr>
      <w:r>
        <w:rPr>
          <w:rFonts w:ascii="Arial" w:cs="Arial" w:eastAsia="Arial" w:hAnsi="Arial"/>
          <w:sz w:val="20"/>
          <w:szCs w:val="20"/>
          <w:b w:val="1"/>
          <w:bCs w:val="1"/>
          <w:color w:val="auto"/>
        </w:rPr>
        <w:t xml:space="preserve">Non-IFRS Gross Profit and Gross Margin. </w:t>
      </w:r>
      <w:r>
        <w:rPr>
          <w:rFonts w:ascii="Arial" w:cs="Arial" w:eastAsia="Arial" w:hAnsi="Arial"/>
          <w:sz w:val="20"/>
          <w:szCs w:val="20"/>
          <w:color w:val="auto"/>
        </w:rPr>
        <w:t>Gogoro defines non-IFRS gross profit and gross margin as gross profit and gross margin</w:t>
      </w:r>
      <w:r>
        <w:rPr>
          <w:rFonts w:ascii="Arial" w:cs="Arial" w:eastAsia="Arial" w:hAnsi="Arial"/>
          <w:sz w:val="20"/>
          <w:szCs w:val="20"/>
          <w:b w:val="1"/>
          <w:bCs w:val="1"/>
          <w:color w:val="auto"/>
        </w:rPr>
        <w:t xml:space="preserve"> </w:t>
      </w:r>
      <w:r>
        <w:rPr>
          <w:rFonts w:ascii="Arial" w:cs="Arial" w:eastAsia="Arial" w:hAnsi="Arial"/>
          <w:sz w:val="20"/>
          <w:szCs w:val="20"/>
          <w:color w:val="auto"/>
        </w:rPr>
        <w:t>excluding share-based compensation expense and exit activities.</w:t>
      </w:r>
    </w:p>
    <w:p>
      <w:pPr>
        <w:spacing w:after="0" w:line="191" w:lineRule="exact"/>
        <w:rPr>
          <w:sz w:val="20"/>
          <w:szCs w:val="20"/>
          <w:color w:val="auto"/>
        </w:rPr>
      </w:pPr>
    </w:p>
    <w:p>
      <w:pPr>
        <w:ind w:right="80"/>
        <w:spacing w:after="0" w:line="377" w:lineRule="auto"/>
        <w:rPr>
          <w:sz w:val="20"/>
          <w:szCs w:val="20"/>
          <w:color w:val="auto"/>
        </w:rPr>
      </w:pPr>
      <w:r>
        <w:rPr>
          <w:rFonts w:ascii="Arial" w:cs="Arial" w:eastAsia="Arial" w:hAnsi="Arial"/>
          <w:sz w:val="16"/>
          <w:szCs w:val="16"/>
          <w:b w:val="1"/>
          <w:bCs w:val="1"/>
          <w:color w:val="auto"/>
        </w:rPr>
        <w:t xml:space="preserve">Share-based Compensation Expense </w:t>
      </w:r>
      <w:r>
        <w:rPr>
          <w:rFonts w:ascii="Arial" w:cs="Arial" w:eastAsia="Arial" w:hAnsi="Arial"/>
          <w:sz w:val="16"/>
          <w:szCs w:val="16"/>
          <w:color w:val="auto"/>
        </w:rPr>
        <w:t>consists of non-cash charges related to the fair value of restricted stock units awarded to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believes that the exclusion of these non-cash charges provides for more accurate comparisons of our operating results to our peer companies due to the varying available valuation methodologies, subjective assumptions and the variety of award types. In addition, the Company believes it is useful to investors to understand the specific impact of share-based compensation expense on its operating results.</w:t>
      </w:r>
    </w:p>
    <w:p>
      <w:pPr>
        <w:spacing w:after="0" w:line="86" w:lineRule="exact"/>
        <w:rPr>
          <w:sz w:val="20"/>
          <w:szCs w:val="20"/>
          <w:color w:val="auto"/>
        </w:rPr>
      </w:pPr>
    </w:p>
    <w:p>
      <w:pPr>
        <w:ind w:right="20"/>
        <w:spacing w:after="0" w:line="281" w:lineRule="auto"/>
        <w:rPr>
          <w:sz w:val="20"/>
          <w:szCs w:val="20"/>
          <w:color w:val="auto"/>
        </w:rPr>
      </w:pPr>
      <w:r>
        <w:rPr>
          <w:rFonts w:ascii="Arial" w:cs="Arial" w:eastAsia="Arial" w:hAnsi="Arial"/>
          <w:sz w:val="20"/>
          <w:szCs w:val="20"/>
          <w:b w:val="1"/>
          <w:bCs w:val="1"/>
          <w:color w:val="auto"/>
        </w:rPr>
        <w:t xml:space="preserve">Non-IFRS Net Loss. </w:t>
      </w:r>
      <w:r>
        <w:rPr>
          <w:rFonts w:ascii="Arial" w:cs="Arial" w:eastAsia="Arial" w:hAnsi="Arial"/>
          <w:sz w:val="20"/>
          <w:szCs w:val="20"/>
          <w:color w:val="auto"/>
        </w:rPr>
        <w:t>Gogoro defines non-IFRS net loss as net income (loss) excluding share-based compensation expense, the change in fair</w:t>
      </w:r>
      <w:r>
        <w:rPr>
          <w:rFonts w:ascii="Arial" w:cs="Arial" w:eastAsia="Arial" w:hAnsi="Arial"/>
          <w:sz w:val="20"/>
          <w:szCs w:val="20"/>
          <w:b w:val="1"/>
          <w:bCs w:val="1"/>
          <w:color w:val="auto"/>
        </w:rPr>
        <w:t xml:space="preserve"> </w:t>
      </w:r>
      <w:r>
        <w:rPr>
          <w:rFonts w:ascii="Arial" w:cs="Arial" w:eastAsia="Arial" w:hAnsi="Arial"/>
          <w:sz w:val="20"/>
          <w:szCs w:val="20"/>
          <w:color w:val="auto"/>
        </w:rPr>
        <w:t>value of financial liabilities including revaluation of redeemable preferred shares, change in fair value of earnout, earn-in and warrants associated with the merger of Poema, listing expense and onetime non-recurring costs associated with the merger. These amounts do not reflect the impact of any related tax effects.</w:t>
      </w:r>
    </w:p>
    <w:p>
      <w:pPr>
        <w:spacing w:after="0" w:line="205" w:lineRule="exact"/>
        <w:rPr>
          <w:sz w:val="20"/>
          <w:szCs w:val="20"/>
          <w:color w:val="auto"/>
        </w:rPr>
      </w:pPr>
    </w:p>
    <w:p>
      <w:pPr>
        <w:ind w:right="700"/>
        <w:spacing w:after="0" w:line="309" w:lineRule="auto"/>
        <w:rPr>
          <w:sz w:val="20"/>
          <w:szCs w:val="20"/>
          <w:color w:val="auto"/>
        </w:rPr>
      </w:pPr>
      <w:r>
        <w:rPr>
          <w:rFonts w:ascii="Arial" w:cs="Arial" w:eastAsia="Arial" w:hAnsi="Arial"/>
          <w:sz w:val="20"/>
          <w:szCs w:val="20"/>
          <w:b w:val="1"/>
          <w:bCs w:val="1"/>
          <w:color w:val="auto"/>
        </w:rPr>
        <w:t xml:space="preserve">EBITDA. </w:t>
      </w:r>
      <w:r>
        <w:rPr>
          <w:rFonts w:ascii="Arial" w:cs="Arial" w:eastAsia="Arial" w:hAnsi="Arial"/>
          <w:sz w:val="20"/>
          <w:szCs w:val="20"/>
          <w:color w:val="auto"/>
        </w:rPr>
        <w:t>Gogoro defines EBITDA, as net income (loss) excluding interest expense, net, provision for income tax, depreciation,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amortization. These amounts do not reflect the impact of any related tax effects.</w:t>
      </w:r>
    </w:p>
    <w:p>
      <w:pPr>
        <w:spacing w:after="0" w:line="177" w:lineRule="exact"/>
        <w:rPr>
          <w:sz w:val="20"/>
          <w:szCs w:val="20"/>
          <w:color w:val="auto"/>
        </w:rPr>
      </w:pPr>
    </w:p>
    <w:p>
      <w:pPr>
        <w:ind w:right="140"/>
        <w:spacing w:after="0" w:line="281" w:lineRule="auto"/>
        <w:rPr>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Gogoro defines Adjusted EBITDA, as EBITDA excluding share-based compensation expense, the change in fair value</w:t>
      </w:r>
      <w:r>
        <w:rPr>
          <w:rFonts w:ascii="Arial" w:cs="Arial" w:eastAsia="Arial" w:hAnsi="Arial"/>
          <w:sz w:val="20"/>
          <w:szCs w:val="20"/>
          <w:b w:val="1"/>
          <w:bCs w:val="1"/>
          <w:color w:val="auto"/>
        </w:rPr>
        <w:t xml:space="preserve"> </w:t>
      </w:r>
      <w:r>
        <w:rPr>
          <w:rFonts w:ascii="Arial" w:cs="Arial" w:eastAsia="Arial" w:hAnsi="Arial"/>
          <w:sz w:val="20"/>
          <w:szCs w:val="20"/>
          <w:color w:val="auto"/>
        </w:rPr>
        <w:t>of financial liabilities including revaluation of redeemable preferred shares, change in fair value of earnout, earn-in and warrants associated with the merger of Poema, listing expense and onetime non-recurring costs associated with the merger. These amounts do not reflect the impact of any related tax effects.</w:t>
      </w:r>
    </w:p>
    <w:p>
      <w:pPr>
        <w:spacing w:after="0" w:line="205" w:lineRule="exact"/>
        <w:rPr>
          <w:sz w:val="20"/>
          <w:szCs w:val="20"/>
          <w:color w:val="auto"/>
        </w:rPr>
      </w:pPr>
    </w:p>
    <w:p>
      <w:pPr>
        <w:ind w:right="20"/>
        <w:spacing w:after="0" w:line="296" w:lineRule="auto"/>
        <w:rPr>
          <w:sz w:val="20"/>
          <w:szCs w:val="20"/>
          <w:color w:val="auto"/>
        </w:rPr>
      </w:pPr>
      <w:r>
        <w:rPr>
          <w:rFonts w:ascii="Arial" w:cs="Arial" w:eastAsia="Arial" w:hAnsi="Arial"/>
          <w:sz w:val="19"/>
          <w:szCs w:val="19"/>
          <w:b w:val="1"/>
          <w:bCs w:val="1"/>
          <w:color w:val="auto"/>
        </w:rPr>
        <w:t>Acquisition-related Expenses</w:t>
      </w:r>
      <w:r>
        <w:rPr>
          <w:rFonts w:ascii="Arial" w:cs="Arial" w:eastAsia="Arial" w:hAnsi="Arial"/>
          <w:sz w:val="19"/>
          <w:szCs w:val="19"/>
          <w:color w:val="auto"/>
        </w:rPr>
        <w:t>. Gogoro incurs acquisition-related and other expenses which consist of costs incurred after the issuance of a</w:t>
      </w:r>
      <w:r>
        <w:rPr>
          <w:rFonts w:ascii="Arial" w:cs="Arial" w:eastAsia="Arial" w:hAnsi="Arial"/>
          <w:sz w:val="19"/>
          <w:szCs w:val="19"/>
          <w:b w:val="1"/>
          <w:bCs w:val="1"/>
          <w:color w:val="auto"/>
        </w:rPr>
        <w:t xml:space="preserve"> </w:t>
      </w:r>
      <w:r>
        <w:rPr>
          <w:rFonts w:ascii="Arial" w:cs="Arial" w:eastAsia="Arial" w:hAnsi="Arial"/>
          <w:sz w:val="19"/>
          <w:szCs w:val="19"/>
          <w:color w:val="auto"/>
        </w:rPr>
        <w:t>definitive term sheet for a particular transaction and include legal, banker, accounting, printer costs, valuation and other advisory fees. Management excludes these items for the purposes of calculating non-IFRS adjusted EBITDA. Gogoro generally would not have otherwise incurred such expenses in the periods presented as part of its continuing operations. The acquisition related expenses are not recurring with respect to past transactions, can be inconsistent in amount and frequency from period to period and are significantly impacted by the timing and magnitude of Gogoro’s acquisitions. While these expenses are not recurring with respect to past transactions, Gogoro generally will incur these expenses in connection with any future acquisitions.</w:t>
      </w:r>
    </w:p>
    <w:p>
      <w:pPr>
        <w:spacing w:after="0" w:line="193" w:lineRule="exact"/>
        <w:rPr>
          <w:sz w:val="20"/>
          <w:szCs w:val="20"/>
          <w:color w:val="auto"/>
        </w:rPr>
      </w:pPr>
    </w:p>
    <w:p>
      <w:pPr>
        <w:ind w:right="40"/>
        <w:spacing w:after="0" w:line="281" w:lineRule="auto"/>
        <w:rPr>
          <w:sz w:val="20"/>
          <w:szCs w:val="20"/>
          <w:color w:val="auto"/>
        </w:rPr>
      </w:pPr>
      <w:r>
        <w:rPr>
          <w:rFonts w:ascii="Arial" w:cs="Arial" w:eastAsia="Arial" w:hAnsi="Arial"/>
          <w:sz w:val="20"/>
          <w:szCs w:val="20"/>
          <w:b w:val="1"/>
          <w:bCs w:val="1"/>
          <w:color w:val="auto"/>
        </w:rPr>
        <w:t xml:space="preserve">Listing Expense. </w:t>
      </w:r>
      <w:r>
        <w:rPr>
          <w:rFonts w:ascii="Arial" w:cs="Arial" w:eastAsia="Arial" w:hAnsi="Arial"/>
          <w:sz w:val="20"/>
          <w:szCs w:val="20"/>
          <w:color w:val="auto"/>
        </w:rPr>
        <w:t>In connection with the merger with Poema, the excess fair value of shares issued by Gogoro in exchanged for the net assets</w:t>
      </w:r>
      <w:r>
        <w:rPr>
          <w:rFonts w:ascii="Arial" w:cs="Arial" w:eastAsia="Arial" w:hAnsi="Arial"/>
          <w:sz w:val="20"/>
          <w:szCs w:val="20"/>
          <w:b w:val="1"/>
          <w:bCs w:val="1"/>
          <w:color w:val="auto"/>
        </w:rPr>
        <w:t xml:space="preserve"> </w:t>
      </w:r>
      <w:r>
        <w:rPr>
          <w:rFonts w:ascii="Arial" w:cs="Arial" w:eastAsia="Arial" w:hAnsi="Arial"/>
          <w:sz w:val="20"/>
          <w:szCs w:val="20"/>
          <w:color w:val="auto"/>
        </w:rPr>
        <w:t>of Poema was recorded as listing expense in operating expense. The listing expense for the merger is not recurring with respect to past transactions, can be inconsistent in amount and frequency from period to period and are significantly impacted by the timing and magnitude of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4"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120"/>
        <w:spacing w:after="0" w:line="309" w:lineRule="auto"/>
        <w:rPr>
          <w:sz w:val="20"/>
          <w:szCs w:val="20"/>
          <w:color w:val="auto"/>
        </w:rPr>
      </w:pPr>
      <w:r>
        <w:rPr>
          <w:rFonts w:ascii="Arial" w:cs="Arial" w:eastAsia="Arial" w:hAnsi="Arial"/>
          <w:sz w:val="19"/>
          <w:szCs w:val="19"/>
          <w:b w:val="1"/>
          <w:bCs w:val="1"/>
          <w:color w:val="auto"/>
        </w:rPr>
        <w:t xml:space="preserve">Exit Activities. </w:t>
      </w:r>
      <w:r>
        <w:rPr>
          <w:rFonts w:ascii="Arial" w:cs="Arial" w:eastAsia="Arial" w:hAnsi="Arial"/>
          <w:sz w:val="19"/>
          <w:szCs w:val="19"/>
          <w:color w:val="auto"/>
        </w:rPr>
        <w:t>We has incurred charges in connection with the exit of certain product lines as well as other non-recurring activities. These</w:t>
      </w:r>
      <w:r>
        <w:rPr>
          <w:rFonts w:ascii="Arial" w:cs="Arial" w:eastAsia="Arial" w:hAnsi="Arial"/>
          <w:sz w:val="19"/>
          <w:szCs w:val="19"/>
          <w:b w:val="1"/>
          <w:bCs w:val="1"/>
          <w:color w:val="auto"/>
        </w:rPr>
        <w:t xml:space="preserve"> </w:t>
      </w:r>
      <w:r>
        <w:rPr>
          <w:rFonts w:ascii="Arial" w:cs="Arial" w:eastAsia="Arial" w:hAnsi="Arial"/>
          <w:sz w:val="19"/>
          <w:szCs w:val="19"/>
          <w:color w:val="auto"/>
        </w:rPr>
        <w:t>charges are not representative of ongoing costs to the business and are not expected to recur. As a result, these charges are being excluded to provide investors with a more comparable measure of costs associated with ongoing operations.</w:t>
      </w:r>
    </w:p>
    <w:p>
      <w:pPr>
        <w:spacing w:after="0" w:line="188" w:lineRule="exact"/>
        <w:rPr>
          <w:sz w:val="20"/>
          <w:szCs w:val="20"/>
          <w:color w:val="auto"/>
        </w:rPr>
      </w:pPr>
    </w:p>
    <w:p>
      <w:pPr>
        <w:ind w:right="60"/>
        <w:spacing w:after="0" w:line="294" w:lineRule="auto"/>
        <w:rPr>
          <w:sz w:val="20"/>
          <w:szCs w:val="20"/>
          <w:color w:val="auto"/>
        </w:rPr>
      </w:pPr>
      <w:r>
        <w:rPr>
          <w:rFonts w:ascii="Arial" w:cs="Arial" w:eastAsia="Arial" w:hAnsi="Arial"/>
          <w:sz w:val="19"/>
          <w:szCs w:val="19"/>
          <w:color w:val="auto"/>
        </w:rPr>
        <w:t>These non-IFRS financial measures exclude share-based compensation expense, interest expense, income tax, depreciation and amortization, change in fair value of financial liabilities including revaluation of redeemable preferred shares, change in fair value of earnout, earn-in and warrants associated with the merger of Poema, listing expense and onetime non-recurring costs associated with the merger. The company uses these non-IFRS financial measures internally in analyzing its financial results and believes that these non-IFRS financial measures are useful to investors as an additional tool to evaluate ongoing operating results and trends. In addition, these measures are the primary indicators management uses as a basis for its planning and forecasting for future periods.</w:t>
      </w:r>
    </w:p>
    <w:p>
      <w:pPr>
        <w:spacing w:after="0" w:line="203" w:lineRule="exact"/>
        <w:rPr>
          <w:sz w:val="20"/>
          <w:szCs w:val="20"/>
          <w:color w:val="auto"/>
        </w:rPr>
      </w:pPr>
    </w:p>
    <w:p>
      <w:pPr>
        <w:ind w:right="20"/>
        <w:spacing w:after="0" w:line="358" w:lineRule="auto"/>
        <w:rPr>
          <w:sz w:val="20"/>
          <w:szCs w:val="20"/>
          <w:color w:val="auto"/>
        </w:rPr>
      </w:pPr>
      <w:r>
        <w:rPr>
          <w:rFonts w:ascii="Arial" w:cs="Arial" w:eastAsia="Arial" w:hAnsi="Arial"/>
          <w:sz w:val="16"/>
          <w:szCs w:val="16"/>
          <w:color w:val="auto"/>
        </w:rPr>
        <w:t>Non-IFRS financial measures are not meant to be considered in isolation or as a substitute for the comparable IFRS financial measures. Non-IFRS financial measures are subject to limitations and should be read only in conjunction with the company's consolidated financial statements prepared in accordance with IFRS. Non-IFRS financial measures do not have any standardized meaning and are therefore unlikely to be comparable to similarly titled measures presented by other companies. A description of these non-IFRS financial measures has been provided above and a reconciliation of the company’s non-IFRS financial measures to their most directly comparable IFRS measures have been provided in the financial statement tables included in this press release, and investors are encouraged to review these reconciliations.</w:t>
      </w:r>
    </w:p>
    <w:p>
      <w:pPr>
        <w:sectPr>
          <w:pgSz w:w="11900" w:h="16838" w:orient="portrait"/>
          <w:cols w:equalWidth="0" w:num="1">
            <w:col w:w="11240"/>
          </w:cols>
          <w:pgMar w:left="320" w:top="104" w:right="339" w:bottom="1440" w:gutter="0" w:footer="0" w:header="0"/>
        </w:sectPr>
      </w:pPr>
    </w:p>
    <w:p>
      <w:pPr>
        <w:spacing w:after="0" w:line="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Gogoro Media Contact: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Gogoro Investor Contact:</w:t>
      </w:r>
    </w:p>
    <w:p>
      <w:pPr>
        <w:spacing w:after="0" w:line="145" w:lineRule="exact"/>
        <w:rPr>
          <w:sz w:val="20"/>
          <w:szCs w:val="20"/>
          <w:color w:val="auto"/>
        </w:rPr>
      </w:pPr>
    </w:p>
    <w:p>
      <w:pPr>
        <w:sectPr>
          <w:pgSz w:w="11900" w:h="16838" w:orient="portrait"/>
          <w:cols w:equalWidth="0" w:num="2">
            <w:col w:w="5320" w:space="720"/>
            <w:col w:w="5200"/>
          </w:cols>
          <w:pgMar w:left="320" w:top="104"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Jason Gordon, Gogoro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Michael Bowen, ICR, LLC.</w:t>
      </w:r>
    </w:p>
    <w:p>
      <w:pPr>
        <w:spacing w:after="0" w:line="117" w:lineRule="exact"/>
        <w:rPr>
          <w:sz w:val="20"/>
          <w:szCs w:val="20"/>
          <w:color w:val="auto"/>
        </w:rPr>
      </w:pPr>
    </w:p>
    <w:p>
      <w:pPr>
        <w:sectPr>
          <w:pgSz w:w="11900" w:h="16838" w:orient="portrait"/>
          <w:cols w:equalWidth="0" w:num="2">
            <w:col w:w="5320" w:space="720"/>
            <w:col w:w="5200"/>
          </w:cols>
          <w:pgMar w:left="320" w:top="104"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+1 (206) 778-7245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gogoroIR@icrinc.com</w:t>
      </w:r>
    </w:p>
    <w:p>
      <w:pPr>
        <w:spacing w:after="0" w:line="117" w:lineRule="exact"/>
        <w:rPr>
          <w:sz w:val="20"/>
          <w:szCs w:val="20"/>
          <w:color w:val="auto"/>
        </w:rPr>
      </w:pPr>
    </w:p>
    <w:p>
      <w:pPr>
        <w:sectPr>
          <w:pgSz w:w="11900" w:h="16838" w:orient="portrait"/>
          <w:cols w:equalWidth="0" w:num="2">
            <w:col w:w="5320" w:space="720"/>
            <w:col w:w="5200"/>
          </w:cols>
          <w:pgMar w:left="320" w:top="104"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jason.gordon@gogoro.com</w:t>
      </w:r>
    </w:p>
    <w:p>
      <w:pPr>
        <w:spacing w:after="0" w:line="20" w:lineRule="exact"/>
        <w:rPr>
          <w:sz w:val="20"/>
          <w:szCs w:val="20"/>
          <w:color w:val="auto"/>
        </w:rPr>
      </w:pPr>
      <w:r>
        <w:rPr>
          <w:sz w:val="20"/>
          <w:szCs w:val="20"/>
          <w:color w:val="auto"/>
        </w:rPr>
        <w:br w:type="column"/>
      </w:r>
    </w:p>
    <w:p>
      <w:pPr>
        <w:jc w:val="center"/>
        <w:ind w:right="3960"/>
        <w:spacing w:after="0"/>
        <w:rPr>
          <w:sz w:val="20"/>
          <w:szCs w:val="20"/>
          <w:color w:val="auto"/>
        </w:rPr>
      </w:pPr>
      <w:r>
        <w:rPr>
          <w:rFonts w:ascii="Arial" w:cs="Arial" w:eastAsia="Arial" w:hAnsi="Arial"/>
          <w:sz w:val="18"/>
          <w:szCs w:val="18"/>
          <w:color w:val="auto"/>
        </w:rPr>
        <w:t>ir@gogoro.com</w:t>
      </w:r>
    </w:p>
    <w:p>
      <w:pPr>
        <w:spacing w:after="0" w:line="200" w:lineRule="exact"/>
        <w:rPr>
          <w:sz w:val="20"/>
          <w:szCs w:val="20"/>
          <w:color w:val="auto"/>
        </w:rPr>
      </w:pPr>
    </w:p>
    <w:p>
      <w:pPr>
        <w:sectPr>
          <w:pgSz w:w="11900" w:h="16838" w:orient="portrait"/>
          <w:cols w:equalWidth="0" w:num="2">
            <w:col w:w="5320" w:space="720"/>
            <w:col w:w="5200"/>
          </w:cols>
          <w:pgMar w:left="320" w:top="1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104" w:right="339" w:bottom="144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GOGORO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Condensed Consolidated Balance Sheet</w:t>
      </w:r>
    </w:p>
    <w:p>
      <w:pPr>
        <w:spacing w:after="0" w:line="36"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auto"/>
        </w:rPr>
        <w:t>(unaudited)</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auto"/>
        </w:rPr>
        <w:t>(in thousands of U.S. dollars)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19"/>
                <w:szCs w:val="19"/>
                <w:color w:val="auto"/>
              </w:rPr>
            </w:pPr>
          </w:p>
        </w:tc>
        <w:tc>
          <w:tcPr>
            <w:tcW w:w="160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r>
      <w:tr>
        <w:trPr>
          <w:trHeight w:val="21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249,077</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217,429</w:t>
            </w:r>
          </w:p>
        </w:tc>
      </w:tr>
      <w:tr>
        <w:trPr>
          <w:trHeight w:val="230"/>
        </w:trPr>
        <w:tc>
          <w:tcPr>
            <w:tcW w:w="7160" w:type="dxa"/>
            <w:vAlign w:val="bottom"/>
          </w:tcPr>
          <w:p>
            <w:pPr>
              <w:ind w:left="120"/>
              <w:spacing w:after="0"/>
              <w:rPr>
                <w:sz w:val="20"/>
                <w:szCs w:val="20"/>
                <w:color w:val="auto"/>
              </w:rPr>
            </w:pPr>
            <w:r>
              <w:rPr>
                <w:rFonts w:ascii="Arial" w:cs="Arial" w:eastAsia="Arial" w:hAnsi="Arial"/>
                <w:sz w:val="18"/>
                <w:szCs w:val="18"/>
                <w:color w:val="auto"/>
              </w:rPr>
              <w:t>Trade receivables</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22,411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16,625</w:t>
            </w:r>
          </w:p>
        </w:tc>
      </w:tr>
      <w:tr>
        <w:trPr>
          <w:trHeight w:val="229"/>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115,417</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73,137</w:t>
            </w:r>
          </w:p>
        </w:tc>
      </w:tr>
      <w:tr>
        <w:trPr>
          <w:trHeight w:val="230"/>
        </w:trPr>
        <w:tc>
          <w:tcPr>
            <w:tcW w:w="7160" w:type="dxa"/>
            <w:vAlign w:val="bottom"/>
          </w:tcPr>
          <w:p>
            <w:pPr>
              <w:ind w:left="120"/>
              <w:spacing w:after="0"/>
              <w:rPr>
                <w:sz w:val="20"/>
                <w:szCs w:val="20"/>
                <w:color w:val="auto"/>
              </w:rPr>
            </w:pPr>
            <w:r>
              <w:rPr>
                <w:rFonts w:ascii="Arial" w:cs="Arial" w:eastAsia="Arial" w:hAnsi="Arial"/>
                <w:sz w:val="18"/>
                <w:szCs w:val="18"/>
                <w:color w:val="auto"/>
              </w:rPr>
              <w:t>Prepayments</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14,154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10,157</w:t>
            </w:r>
          </w:p>
        </w:tc>
      </w:tr>
      <w:tr>
        <w:trPr>
          <w:trHeight w:val="229"/>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19,545</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40,682</w:t>
            </w:r>
          </w:p>
        </w:tc>
      </w:tr>
      <w:tr>
        <w:trPr>
          <w:trHeight w:val="223"/>
        </w:trPr>
        <w:tc>
          <w:tcPr>
            <w:tcW w:w="7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420,604</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358,030</w:t>
            </w:r>
          </w:p>
        </w:tc>
      </w:tr>
      <w:tr>
        <w:trPr>
          <w:trHeight w:val="250"/>
        </w:trPr>
        <w:tc>
          <w:tcPr>
            <w:tcW w:w="7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426,500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454,741</w:t>
            </w: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19,654</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26,277</w:t>
            </w:r>
          </w:p>
        </w:tc>
      </w:tr>
      <w:tr>
        <w:trPr>
          <w:trHeight w:val="230"/>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9,274</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5,352</w:t>
            </w:r>
          </w:p>
        </w:tc>
      </w:tr>
      <w:tr>
        <w:trPr>
          <w:trHeight w:val="248"/>
        </w:trPr>
        <w:tc>
          <w:tcPr>
            <w:tcW w:w="7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876,032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844,400</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Loan and borrowing obligations, current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290,871</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238,434</w:t>
            </w:r>
          </w:p>
        </w:tc>
      </w:tr>
      <w:tr>
        <w:trPr>
          <w:trHeight w:val="230"/>
        </w:trPr>
        <w:tc>
          <w:tcPr>
            <w:tcW w:w="7160" w:type="dxa"/>
            <w:vAlign w:val="bottom"/>
          </w:tcPr>
          <w:p>
            <w:pPr>
              <w:ind w:left="120"/>
              <w:spacing w:after="0"/>
              <w:rPr>
                <w:sz w:val="20"/>
                <w:szCs w:val="20"/>
                <w:color w:val="auto"/>
              </w:rPr>
            </w:pPr>
            <w:r>
              <w:rPr>
                <w:rFonts w:ascii="Arial" w:cs="Arial" w:eastAsia="Arial" w:hAnsi="Arial"/>
                <w:sz w:val="18"/>
                <w:szCs w:val="18"/>
                <w:color w:val="auto"/>
              </w:rPr>
              <w:t>Financial liabilities at fair value</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63,327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107,862</w:t>
            </w:r>
          </w:p>
        </w:tc>
      </w:tr>
      <w:tr>
        <w:trPr>
          <w:trHeight w:val="230"/>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Notes payable and trade payable</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43,472</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53,258</w:t>
            </w:r>
          </w:p>
        </w:tc>
      </w:tr>
      <w:tr>
        <w:trPr>
          <w:trHeight w:val="230"/>
        </w:trPr>
        <w:tc>
          <w:tcPr>
            <w:tcW w:w="7160" w:type="dxa"/>
            <w:vAlign w:val="bottom"/>
          </w:tcPr>
          <w:p>
            <w:pPr>
              <w:ind w:left="1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20,131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18,753</w:t>
            </w:r>
          </w:p>
        </w:tc>
      </w:tr>
      <w:tr>
        <w:trPr>
          <w:trHeight w:val="230"/>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 current</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9,631</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11,153</w:t>
            </w:r>
          </w:p>
        </w:tc>
      </w:tr>
      <w:tr>
        <w:trPr>
          <w:trHeight w:val="229"/>
        </w:trPr>
        <w:tc>
          <w:tcPr>
            <w:tcW w:w="7160" w:type="dxa"/>
            <w:vAlign w:val="bottom"/>
          </w:tcPr>
          <w:p>
            <w:pPr>
              <w:ind w:left="120"/>
              <w:spacing w:after="0"/>
              <w:rPr>
                <w:sz w:val="20"/>
                <w:szCs w:val="20"/>
                <w:color w:val="auto"/>
              </w:rPr>
            </w:pPr>
            <w:r>
              <w:rPr>
                <w:rFonts w:ascii="Arial" w:cs="Arial" w:eastAsia="Arial" w:hAnsi="Arial"/>
                <w:sz w:val="18"/>
                <w:szCs w:val="18"/>
                <w:color w:val="auto"/>
              </w:rPr>
              <w:t>Provisions for product warranty, current</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2,879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6,480</w:t>
            </w:r>
          </w:p>
        </w:tc>
      </w:tr>
      <w:tr>
        <w:trPr>
          <w:trHeight w:val="230"/>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payables and current liability</w:t>
            </w: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44,018</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44,603</w:t>
            </w:r>
          </w:p>
        </w:tc>
      </w:tr>
      <w:tr>
        <w:trPr>
          <w:trHeight w:val="223"/>
        </w:trPr>
        <w:tc>
          <w:tcPr>
            <w:tcW w:w="7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474,329</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480,543</w:t>
            </w:r>
          </w:p>
        </w:tc>
      </w:tr>
      <w:tr>
        <w:trPr>
          <w:trHeight w:val="250"/>
        </w:trPr>
        <w:tc>
          <w:tcPr>
            <w:tcW w:w="7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Long-term borrowing obligations, non-current</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74,689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195,883</w:t>
            </w: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Provisions for product warranty, non-current</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w:t>
            </w: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color w:val="auto"/>
              </w:rPr>
              <w:t>Lease liabilities - non-current</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10,411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15,589</w:t>
            </w: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15,692</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19,522</w:t>
            </w:r>
          </w:p>
        </w:tc>
      </w:tr>
      <w:tr>
        <w:trPr>
          <w:trHeight w:val="223"/>
        </w:trPr>
        <w:tc>
          <w:tcPr>
            <w:tcW w:w="7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583,331</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720,687</w:t>
            </w:r>
          </w:p>
        </w:tc>
      </w:tr>
      <w:tr>
        <w:trPr>
          <w:trHeight w:val="250"/>
        </w:trPr>
        <w:tc>
          <w:tcPr>
            <w:tcW w:w="7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30"/>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292,701</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123,713</w:t>
            </w:r>
          </w:p>
        </w:tc>
      </w:tr>
      <w:tr>
        <w:trPr>
          <w:trHeight w:val="248"/>
        </w:trPr>
        <w:tc>
          <w:tcPr>
            <w:tcW w:w="7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876,032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844,400</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80" w:top="104"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GOGORO INC.</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36"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unaudited)</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6"/>
          <w:szCs w:val="16"/>
          <w:i w:val="1"/>
          <w:iCs w:val="1"/>
          <w:color w:val="auto"/>
        </w:rPr>
        <w:t>(in thousands of U.S. dollars, except net income (loss) per share)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300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6"/>
              </w:rPr>
              <w:t>Nine Months Ended September 30,</w:t>
            </w:r>
          </w:p>
        </w:tc>
        <w:tc>
          <w:tcPr>
            <w:tcW w:w="0" w:type="dxa"/>
            <w:vAlign w:val="bottom"/>
          </w:tcPr>
          <w:p>
            <w:pPr>
              <w:spacing w:after="0"/>
              <w:rPr>
                <w:sz w:val="1"/>
                <w:szCs w:val="1"/>
                <w:color w:val="auto"/>
              </w:rPr>
            </w:pPr>
          </w:p>
        </w:tc>
      </w:tr>
      <w:tr>
        <w:trPr>
          <w:trHeight w:val="210"/>
        </w:trPr>
        <w:tc>
          <w:tcPr>
            <w:tcW w:w="44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102,182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100,629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287,360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245,416</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revenues</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84,373</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83,230</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243,977</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209,593</w:t>
            </w:r>
          </w:p>
        </w:tc>
        <w:tc>
          <w:tcPr>
            <w:tcW w:w="0" w:type="dxa"/>
            <w:vAlign w:val="bottom"/>
          </w:tcPr>
          <w:p>
            <w:pPr>
              <w:spacing w:after="0"/>
              <w:rPr>
                <w:sz w:val="1"/>
                <w:szCs w:val="1"/>
                <w:color w:val="auto"/>
              </w:rPr>
            </w:pPr>
          </w:p>
        </w:tc>
      </w:tr>
      <w:tr>
        <w:trPr>
          <w:trHeight w:val="213"/>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17,809</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17,399</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43,383</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35,823</w:t>
            </w:r>
          </w:p>
        </w:tc>
        <w:tc>
          <w:tcPr>
            <w:tcW w:w="0" w:type="dxa"/>
            <w:vAlign w:val="bottom"/>
          </w:tcPr>
          <w:p>
            <w:pPr>
              <w:spacing w:after="0"/>
              <w:rPr>
                <w:sz w:val="1"/>
                <w:szCs w:val="1"/>
                <w:color w:val="auto"/>
              </w:rPr>
            </w:pPr>
          </w:p>
        </w:tc>
      </w:tr>
      <w:tr>
        <w:trPr>
          <w:trHeight w:val="193"/>
        </w:trPr>
        <w:tc>
          <w:tcPr>
            <w:tcW w:w="44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Selling and marketing expenses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17,745</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14,068</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45,458</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39,361</w:t>
            </w:r>
          </w:p>
        </w:tc>
        <w:tc>
          <w:tcPr>
            <w:tcW w:w="0" w:type="dxa"/>
            <w:vAlign w:val="bottom"/>
          </w:tcPr>
          <w:p>
            <w:pPr>
              <w:spacing w:after="0"/>
              <w:rPr>
                <w:sz w:val="1"/>
                <w:szCs w:val="1"/>
                <w:color w:val="auto"/>
              </w:rPr>
            </w:pPr>
          </w:p>
        </w:tc>
      </w:tr>
      <w:tr>
        <w:trPr>
          <w:trHeight w:val="213"/>
        </w:trPr>
        <w:tc>
          <w:tcPr>
            <w:tcW w:w="4400" w:type="dxa"/>
            <w:vAlign w:val="bottom"/>
          </w:tcPr>
          <w:p>
            <w:pPr>
              <w:ind w:left="120"/>
              <w:spacing w:after="0"/>
              <w:rPr>
                <w:sz w:val="20"/>
                <w:szCs w:val="20"/>
                <w:color w:val="auto"/>
              </w:rPr>
            </w:pPr>
            <w:r>
              <w:rPr>
                <w:rFonts w:ascii="Arial" w:cs="Arial" w:eastAsia="Arial" w:hAnsi="Arial"/>
                <w:sz w:val="16"/>
                <w:szCs w:val="16"/>
                <w:color w:val="auto"/>
              </w:rPr>
              <w:t>General and administrative expenses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14,264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7,829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56,294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20,600</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Research and development expenses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12,679</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7,459</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33,624</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21,798</w:t>
            </w:r>
          </w:p>
        </w:tc>
        <w:tc>
          <w:tcPr>
            <w:tcW w:w="0" w:type="dxa"/>
            <w:vAlign w:val="bottom"/>
          </w:tcPr>
          <w:p>
            <w:pPr>
              <w:spacing w:after="0"/>
              <w:rPr>
                <w:sz w:val="1"/>
                <w:szCs w:val="1"/>
                <w:color w:val="auto"/>
              </w:rPr>
            </w:pPr>
          </w:p>
        </w:tc>
      </w:tr>
      <w:tr>
        <w:trPr>
          <w:trHeight w:val="213"/>
        </w:trPr>
        <w:tc>
          <w:tcPr>
            <w:tcW w:w="4400" w:type="dxa"/>
            <w:vAlign w:val="bottom"/>
          </w:tcPr>
          <w:p>
            <w:pPr>
              <w:ind w:left="120"/>
              <w:spacing w:after="0"/>
              <w:rPr>
                <w:sz w:val="20"/>
                <w:szCs w:val="20"/>
                <w:color w:val="auto"/>
              </w:rPr>
            </w:pPr>
            <w:r>
              <w:rPr>
                <w:rFonts w:ascii="Arial" w:cs="Arial" w:eastAsia="Arial" w:hAnsi="Arial"/>
                <w:sz w:val="16"/>
                <w:szCs w:val="16"/>
                <w:color w:val="auto"/>
              </w:rPr>
              <w:t>Listing expense</w:t>
            </w:r>
          </w:p>
        </w:tc>
        <w:tc>
          <w:tcPr>
            <w:tcW w:w="24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178,804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44,688</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29,356</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314,180</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81,759</w:t>
            </w:r>
          </w:p>
        </w:tc>
        <w:tc>
          <w:tcPr>
            <w:tcW w:w="0" w:type="dxa"/>
            <w:vAlign w:val="bottom"/>
          </w:tcPr>
          <w:p>
            <w:pPr>
              <w:spacing w:after="0"/>
              <w:rPr>
                <w:sz w:val="1"/>
                <w:szCs w:val="1"/>
                <w:color w:val="auto"/>
              </w:rPr>
            </w:pPr>
          </w:p>
        </w:tc>
      </w:tr>
      <w:tr>
        <w:trPr>
          <w:trHeight w:val="207"/>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 from operations</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(26,879)</w:t>
            </w: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(11,957)</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(270,797)</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(45,936)</w:t>
            </w:r>
          </w:p>
        </w:tc>
        <w:tc>
          <w:tcPr>
            <w:tcW w:w="0" w:type="dxa"/>
            <w:vAlign w:val="bottom"/>
          </w:tcPr>
          <w:p>
            <w:pPr>
              <w:spacing w:after="0"/>
              <w:rPr>
                <w:sz w:val="1"/>
                <w:szCs w:val="1"/>
                <w:color w:val="auto"/>
              </w:rPr>
            </w:pPr>
          </w:p>
        </w:tc>
      </w:tr>
      <w:tr>
        <w:trPr>
          <w:trHeight w:val="19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 and expenses: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(1,651)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(2,836)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(6,940)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(7,613)</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income (loss), net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3,061</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5,838</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Change in fair value of financial liabilities</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85,755</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(1,656)</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189,560</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(5,492)</w:t>
            </w:r>
          </w:p>
        </w:tc>
        <w:tc>
          <w:tcPr>
            <w:tcW w:w="0" w:type="dxa"/>
            <w:vAlign w:val="bottom"/>
          </w:tcPr>
          <w:p>
            <w:pPr>
              <w:spacing w:after="0"/>
              <w:rPr>
                <w:sz w:val="1"/>
                <w:szCs w:val="1"/>
                <w:color w:val="auto"/>
              </w:rPr>
            </w:pPr>
          </w:p>
        </w:tc>
      </w:tr>
      <w:tr>
        <w:trPr>
          <w:trHeight w:val="213"/>
        </w:trPr>
        <w:tc>
          <w:tcPr>
            <w:tcW w:w="4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non-operating income (expenses)</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83,272</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(1,431)</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184,421</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(7,267)</w:t>
            </w:r>
          </w:p>
        </w:tc>
        <w:tc>
          <w:tcPr>
            <w:tcW w:w="0" w:type="dxa"/>
            <w:vAlign w:val="bottom"/>
          </w:tcPr>
          <w:p>
            <w:pPr>
              <w:spacing w:after="0"/>
              <w:rPr>
                <w:sz w:val="1"/>
                <w:szCs w:val="1"/>
                <w:color w:val="auto"/>
              </w:rPr>
            </w:pPr>
          </w:p>
        </w:tc>
      </w:tr>
      <w:tr>
        <w:trPr>
          <w:trHeight w:val="206"/>
        </w:trPr>
        <w:tc>
          <w:tcPr>
            <w:tcW w:w="44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56,393</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(13,388)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(86,376)</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(53,203)</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Exchange differences on translating foreign operations</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(11,112)</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(23,812)</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1,836</w:t>
            </w:r>
          </w:p>
        </w:tc>
        <w:tc>
          <w:tcPr>
            <w:tcW w:w="0" w:type="dxa"/>
            <w:vAlign w:val="bottom"/>
          </w:tcPr>
          <w:p>
            <w:pPr>
              <w:spacing w:after="0"/>
              <w:rPr>
                <w:sz w:val="1"/>
                <w:szCs w:val="1"/>
                <w:color w:val="auto"/>
              </w:rPr>
            </w:pPr>
          </w:p>
        </w:tc>
      </w:tr>
      <w:tr>
        <w:trPr>
          <w:trHeight w:val="238"/>
        </w:trPr>
        <w:tc>
          <w:tcPr>
            <w:tcW w:w="4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comprehensive income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45,281</w:t>
            </w: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(13,323)</w:t>
            </w: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(110,188)</w:t>
            </w: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(51,367)</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and diluted net income (loss) per common share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166"/>
        </w:trPr>
        <w:tc>
          <w:tcPr>
            <w:tcW w:w="4400" w:type="dxa"/>
            <w:vAlign w:val="bottom"/>
          </w:tcPr>
          <w:p>
            <w:pPr>
              <w:ind w:left="20"/>
              <w:spacing w:after="0" w:line="166" w:lineRule="exact"/>
              <w:rPr>
                <w:sz w:val="20"/>
                <w:szCs w:val="20"/>
                <w:color w:val="auto"/>
              </w:rPr>
            </w:pPr>
            <w:r>
              <w:rPr>
                <w:rFonts w:ascii="Arial" w:cs="Arial" w:eastAsia="Arial" w:hAnsi="Arial"/>
                <w:sz w:val="16"/>
                <w:szCs w:val="16"/>
                <w:color w:val="auto"/>
                <w:w w:val="94"/>
              </w:rPr>
              <w:t>Shares used in computing basic and diluted net income (loss) per</w:t>
            </w:r>
          </w:p>
        </w:tc>
        <w:tc>
          <w:tcPr>
            <w:tcW w:w="2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231,989</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193,334</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218,679</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193,334</w:t>
            </w:r>
          </w:p>
        </w:tc>
        <w:tc>
          <w:tcPr>
            <w:tcW w:w="0" w:type="dxa"/>
            <w:vAlign w:val="bottom"/>
          </w:tcPr>
          <w:p>
            <w:pPr>
              <w:spacing w:after="0"/>
              <w:rPr>
                <w:sz w:val="1"/>
                <w:szCs w:val="1"/>
                <w:color w:val="auto"/>
              </w:rPr>
            </w:pPr>
          </w:p>
        </w:tc>
      </w:tr>
      <w:tr>
        <w:trPr>
          <w:trHeight w:val="125"/>
        </w:trPr>
        <w:tc>
          <w:tcPr>
            <w:tcW w:w="4400" w:type="dxa"/>
            <w:vAlign w:val="bottom"/>
            <w:vMerge w:val="restart"/>
          </w:tcPr>
          <w:p>
            <w:pPr>
              <w:ind w:left="20"/>
              <w:spacing w:after="0"/>
              <w:rPr>
                <w:sz w:val="20"/>
                <w:szCs w:val="20"/>
                <w:color w:val="auto"/>
              </w:rPr>
            </w:pPr>
            <w:r>
              <w:rPr>
                <w:rFonts w:ascii="Arial" w:cs="Arial" w:eastAsia="Arial" w:hAnsi="Arial"/>
                <w:sz w:val="16"/>
                <w:szCs w:val="16"/>
                <w:color w:val="auto"/>
              </w:rPr>
              <w:t>common share</w:t>
            </w:r>
          </w:p>
        </w:tc>
        <w:tc>
          <w:tcPr>
            <w:tcW w:w="24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4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300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21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revenues:</w:t>
            </w:r>
          </w:p>
        </w:tc>
        <w:tc>
          <w:tcPr>
            <w:tcW w:w="2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12"/>
        </w:trPr>
        <w:tc>
          <w:tcPr>
            <w:tcW w:w="4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Sales of hardware and other revenues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71,754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74,787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197,131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172,122</w:t>
            </w:r>
          </w:p>
        </w:tc>
      </w:tr>
      <w:tr>
        <w:trPr>
          <w:trHeight w:val="213"/>
        </w:trPr>
        <w:tc>
          <w:tcPr>
            <w:tcW w:w="44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Gogoro Network revenue</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30,428</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25,842</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90,229</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73,294</w:t>
            </w:r>
          </w:p>
        </w:tc>
      </w:tr>
      <w:tr>
        <w:trPr>
          <w:trHeight w:val="238"/>
        </w:trPr>
        <w:tc>
          <w:tcPr>
            <w:tcW w:w="4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Operating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102,182</w:t>
            </w: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100,629</w:t>
            </w: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287,360</w:t>
            </w: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245,416</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ind w:left="160"/>
              <w:spacing w:after="0"/>
              <w:rPr>
                <w:sz w:val="20"/>
                <w:szCs w:val="20"/>
                <w:color w:val="auto"/>
              </w:rPr>
            </w:pPr>
            <w:r>
              <w:rPr>
                <w:rFonts w:ascii="Arial" w:cs="Arial" w:eastAsia="Arial" w:hAnsi="Arial"/>
                <w:sz w:val="16"/>
                <w:szCs w:val="16"/>
                <w:b w:val="1"/>
                <w:bCs w:val="1"/>
                <w:color w:val="auto"/>
              </w:rPr>
              <w:t>Nine Months Ended September 30,</w:t>
            </w:r>
          </w:p>
        </w:tc>
      </w:tr>
      <w:tr>
        <w:trPr>
          <w:trHeight w:val="21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Share-based compensation expense: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2021</w:t>
            </w:r>
          </w:p>
        </w:tc>
      </w:tr>
      <w:tr>
        <w:trPr>
          <w:trHeight w:val="212"/>
        </w:trPr>
        <w:tc>
          <w:tcPr>
            <w:tcW w:w="4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Cost of revenues</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ind w:left="960"/>
              <w:spacing w:after="0"/>
              <w:rPr>
                <w:sz w:val="20"/>
                <w:szCs w:val="20"/>
                <w:color w:val="auto"/>
              </w:rPr>
            </w:pPr>
            <w:r>
              <w:rPr>
                <w:rFonts w:ascii="Arial" w:cs="Arial" w:eastAsia="Arial" w:hAnsi="Arial"/>
                <w:sz w:val="16"/>
                <w:szCs w:val="16"/>
                <w:color w:val="auto"/>
              </w:rPr>
              <w:t>—</w:t>
            </w:r>
          </w:p>
        </w:tc>
      </w:tr>
      <w:tr>
        <w:trPr>
          <w:trHeight w:val="213"/>
        </w:trPr>
        <w:tc>
          <w:tcPr>
            <w:tcW w:w="4400" w:type="dxa"/>
            <w:vAlign w:val="bottom"/>
          </w:tcPr>
          <w:p>
            <w:pPr>
              <w:ind w:left="120"/>
              <w:spacing w:after="0"/>
              <w:rPr>
                <w:sz w:val="20"/>
                <w:szCs w:val="20"/>
                <w:color w:val="auto"/>
              </w:rPr>
            </w:pPr>
            <w:r>
              <w:rPr>
                <w:rFonts w:ascii="Arial" w:cs="Arial" w:eastAsia="Arial" w:hAnsi="Arial"/>
                <w:sz w:val="16"/>
                <w:szCs w:val="16"/>
                <w:color w:val="auto"/>
              </w:rPr>
              <w:t>Selling and marketing</w:t>
            </w: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1,582</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4,242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ind w:left="960"/>
              <w:spacing w:after="0"/>
              <w:rPr>
                <w:sz w:val="20"/>
                <w:szCs w:val="20"/>
                <w:color w:val="auto"/>
              </w:rPr>
            </w:pPr>
            <w:r>
              <w:rPr>
                <w:rFonts w:ascii="Arial" w:cs="Arial" w:eastAsia="Arial" w:hAnsi="Arial"/>
                <w:sz w:val="16"/>
                <w:szCs w:val="16"/>
                <w:color w:val="auto"/>
              </w:rPr>
              <w:t>—</w:t>
            </w:r>
          </w:p>
        </w:tc>
      </w:tr>
      <w:tr>
        <w:trPr>
          <w:trHeight w:val="219"/>
        </w:trPr>
        <w:tc>
          <w:tcPr>
            <w:tcW w:w="4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General and administrative</w:t>
            </w: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5,386</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10,535</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ind w:left="960"/>
              <w:spacing w:after="0"/>
              <w:rPr>
                <w:sz w:val="20"/>
                <w:szCs w:val="20"/>
                <w:color w:val="auto"/>
              </w:rPr>
            </w:pPr>
            <w:r>
              <w:rPr>
                <w:rFonts w:ascii="Arial" w:cs="Arial" w:eastAsia="Arial" w:hAnsi="Arial"/>
                <w:sz w:val="16"/>
                <w:szCs w:val="16"/>
                <w:color w:val="auto"/>
              </w:rPr>
              <w:t>—</w:t>
            </w:r>
          </w:p>
        </w:tc>
      </w:tr>
      <w:tr>
        <w:trPr>
          <w:trHeight w:val="213"/>
        </w:trPr>
        <w:tc>
          <w:tcPr>
            <w:tcW w:w="44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Research and development</w:t>
            </w: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3,382</w:t>
            </w:r>
          </w:p>
        </w:tc>
        <w:tc>
          <w:tcPr>
            <w:tcW w:w="1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9,036</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w:t>
            </w:r>
          </w:p>
        </w:tc>
      </w:tr>
      <w:tr>
        <w:trPr>
          <w:trHeight w:val="233"/>
        </w:trPr>
        <w:tc>
          <w:tcPr>
            <w:tcW w:w="4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11,353</w:t>
            </w: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26,734</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ind w:left="960"/>
              <w:spacing w:after="0"/>
              <w:rPr>
                <w:sz w:val="20"/>
                <w:szCs w:val="20"/>
                <w:color w:val="auto"/>
              </w:rPr>
            </w:pPr>
            <w:r>
              <w:rPr>
                <w:rFonts w:ascii="Arial" w:cs="Arial" w:eastAsia="Arial" w:hAnsi="Arial"/>
                <w:sz w:val="16"/>
                <w:szCs w:val="16"/>
                <w:color w:val="auto"/>
              </w:rPr>
              <w:t>—</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60"/>
          </w:cols>
          <w:pgMar w:left="400" w:top="104"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GOGORO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of U.S. dollars)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60" w:type="dxa"/>
            <w:vAlign w:val="bottom"/>
          </w:tcPr>
          <w:p>
            <w:pPr>
              <w:spacing w:after="0"/>
              <w:rPr>
                <w:sz w:val="18"/>
                <w:szCs w:val="18"/>
                <w:color w:val="auto"/>
              </w:rPr>
            </w:pPr>
          </w:p>
        </w:tc>
        <w:tc>
          <w:tcPr>
            <w:tcW w:w="408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Nine Months Ended September 30,</w:t>
            </w:r>
          </w:p>
        </w:tc>
        <w:tc>
          <w:tcPr>
            <w:tcW w:w="800" w:type="dxa"/>
            <w:vAlign w:val="bottom"/>
            <w:tcBorders>
              <w:bottom w:val="single" w:sz="8" w:color="auto"/>
            </w:tcBorders>
          </w:tcPr>
          <w:p>
            <w:pPr>
              <w:spacing w:after="0"/>
              <w:rPr>
                <w:sz w:val="18"/>
                <w:szCs w:val="18"/>
                <w:color w:val="auto"/>
              </w:rPr>
            </w:pPr>
          </w:p>
        </w:tc>
      </w:tr>
      <w:tr>
        <w:trPr>
          <w:trHeight w:val="210"/>
        </w:trPr>
        <w:tc>
          <w:tcPr>
            <w:tcW w:w="6360" w:type="dxa"/>
            <w:vAlign w:val="bottom"/>
          </w:tcPr>
          <w:p>
            <w:pPr>
              <w:spacing w:after="0"/>
              <w:rPr>
                <w:sz w:val="18"/>
                <w:szCs w:val="18"/>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820" w:type="dxa"/>
            <w:vAlign w:val="bottom"/>
          </w:tcPr>
          <w:p>
            <w:pPr>
              <w:spacing w:after="0"/>
              <w:rPr>
                <w:sz w:val="18"/>
                <w:szCs w:val="18"/>
                <w:color w:val="auto"/>
              </w:rPr>
            </w:pPr>
          </w:p>
        </w:tc>
        <w:tc>
          <w:tcPr>
            <w:tcW w:w="176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800" w:type="dxa"/>
            <w:vAlign w:val="bottom"/>
          </w:tcPr>
          <w:p>
            <w:pPr>
              <w:spacing w:after="0"/>
              <w:rPr>
                <w:sz w:val="18"/>
                <w:szCs w:val="18"/>
                <w:color w:val="auto"/>
              </w:rPr>
            </w:pPr>
          </w:p>
        </w:tc>
      </w:tr>
      <w:tr>
        <w:trPr>
          <w:trHeight w:val="19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5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500" w:type="dxa"/>
            <w:vAlign w:val="bottom"/>
          </w:tcPr>
          <w:p>
            <w:pPr>
              <w:jc w:val="right"/>
              <w:ind w:right="13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(86,376)</w:t>
            </w:r>
          </w:p>
        </w:tc>
        <w:tc>
          <w:tcPr>
            <w:tcW w:w="1760" w:type="dxa"/>
            <w:vAlign w:val="bottom"/>
            <w:gridSpan w:val="2"/>
          </w:tcPr>
          <w:p>
            <w:pPr>
              <w:jc w:val="right"/>
              <w:ind w:right="13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(53,203)</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for:</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72,976</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69,517</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Expected credit loss</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Change in fair value of financial liabilities</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(189,560)</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5,492</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net</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6,940</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7,613</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Share-based compensation expense</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26,734</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disposal of property and equipment, net</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Write-down and reversal inventories</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3,913</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914</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Recognition of listing expense</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178,804</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1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 receivables</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(6,099)</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(8,408)</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(46,193)</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7,064</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Prepayments and other current assets</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(7,980)</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(5,133)</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Notes payable and trade payables</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(9,786)</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19,874</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liabilities</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5,030</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Other payables and liabilities</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(2,512)</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(5,102)</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Provisions for product warranty</w:t>
            </w:r>
          </w:p>
        </w:tc>
        <w:tc>
          <w:tcPr>
            <w:tcW w:w="1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(4,541)</w:t>
            </w:r>
          </w:p>
        </w:tc>
        <w:tc>
          <w:tcPr>
            <w:tcW w:w="2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(1,890)</w:t>
            </w:r>
          </w:p>
        </w:tc>
      </w:tr>
      <w:tr>
        <w:trPr>
          <w:trHeight w:val="206"/>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provided by (used in) operations</w:t>
            </w:r>
          </w:p>
        </w:tc>
        <w:tc>
          <w:tcPr>
            <w:tcW w:w="1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(61,283)</w:t>
            </w:r>
          </w:p>
        </w:tc>
        <w:tc>
          <w:tcPr>
            <w:tcW w:w="2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42,284</w:t>
            </w: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and tax paid, net</w:t>
            </w:r>
          </w:p>
        </w:tc>
        <w:tc>
          <w:tcPr>
            <w:tcW w:w="1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(7,849)</w:t>
            </w:r>
          </w:p>
        </w:tc>
        <w:tc>
          <w:tcPr>
            <w:tcW w:w="22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(7,383)</w:t>
            </w:r>
          </w:p>
        </w:tc>
      </w:tr>
      <w:tr>
        <w:trPr>
          <w:trHeight w:val="207"/>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cash provided by (used in) operating activities</w:t>
            </w:r>
          </w:p>
        </w:tc>
        <w:tc>
          <w:tcPr>
            <w:tcW w:w="1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(69,132)</w:t>
            </w:r>
          </w:p>
        </w:tc>
        <w:tc>
          <w:tcPr>
            <w:tcW w:w="2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34,901</w:t>
            </w:r>
          </w:p>
        </w:tc>
      </w:tr>
      <w:tr>
        <w:trPr>
          <w:trHeight w:val="19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(102,239)</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(82,873)</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 in refundable deposits</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Payments of intangible assets, net</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(492)</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(408)</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Decrease in time deposits and others</w:t>
            </w:r>
          </w:p>
        </w:tc>
        <w:tc>
          <w:tcPr>
            <w:tcW w:w="1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23,439</w:t>
            </w:r>
          </w:p>
        </w:tc>
        <w:tc>
          <w:tcPr>
            <w:tcW w:w="2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53,192</w:t>
            </w:r>
          </w:p>
        </w:tc>
      </w:tr>
      <w:tr>
        <w:trPr>
          <w:trHeight w:val="206"/>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cash provided used in investing activities</w:t>
            </w:r>
          </w:p>
        </w:tc>
        <w:tc>
          <w:tcPr>
            <w:tcW w:w="1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(79,292)</w:t>
            </w:r>
          </w:p>
        </w:tc>
        <w:tc>
          <w:tcPr>
            <w:tcW w:w="2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(30,420)</w:t>
            </w:r>
          </w:p>
        </w:tc>
      </w:tr>
      <w:tr>
        <w:trPr>
          <w:trHeight w:val="19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Proceeds from borrowings</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133,177</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107,698</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borrowings</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(155,432)</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(4,609)</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Cash capital increase</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326,965</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loss on financial liabilities at fair value</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(108,149)</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(5,236)</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Refund of guarantee deposits received</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337</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 of the principal portion of lease liabilities</w:t>
            </w:r>
          </w:p>
        </w:tc>
        <w:tc>
          <w:tcPr>
            <w:tcW w:w="1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(9,550)</w:t>
            </w:r>
          </w:p>
        </w:tc>
        <w:tc>
          <w:tcPr>
            <w:tcW w:w="2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(8,983)</w:t>
            </w:r>
          </w:p>
        </w:tc>
      </w:tr>
      <w:tr>
        <w:trPr>
          <w:trHeight w:val="207"/>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cash provided by financing activities</w:t>
            </w:r>
          </w:p>
        </w:tc>
        <w:tc>
          <w:tcPr>
            <w:tcW w:w="1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187,348</w:t>
            </w:r>
          </w:p>
        </w:tc>
        <w:tc>
          <w:tcPr>
            <w:tcW w:w="2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88,747</w:t>
            </w: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Exchange differences on translating foreign operations</w:t>
            </w:r>
          </w:p>
        </w:tc>
        <w:tc>
          <w:tcPr>
            <w:tcW w:w="1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(7,276)</w:t>
            </w:r>
          </w:p>
        </w:tc>
        <w:tc>
          <w:tcPr>
            <w:tcW w:w="22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06"/>
        </w:trPr>
        <w:tc>
          <w:tcPr>
            <w:tcW w:w="636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1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31,648</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93,333</w:t>
            </w: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the beginning of the period</w:t>
            </w:r>
          </w:p>
        </w:tc>
        <w:tc>
          <w:tcPr>
            <w:tcW w:w="1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217,429</w:t>
            </w:r>
          </w:p>
        </w:tc>
        <w:tc>
          <w:tcPr>
            <w:tcW w:w="22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119,042</w:t>
            </w:r>
          </w:p>
        </w:tc>
      </w:tr>
      <w:tr>
        <w:trPr>
          <w:trHeight w:val="233"/>
        </w:trPr>
        <w:tc>
          <w:tcPr>
            <w:tcW w:w="6360" w:type="dxa"/>
            <w:vAlign w:val="bottom"/>
          </w:tcPr>
          <w:p>
            <w:pPr>
              <w:ind w:left="20"/>
              <w:spacing w:after="0"/>
              <w:rPr>
                <w:sz w:val="20"/>
                <w:szCs w:val="20"/>
                <w:color w:val="auto"/>
              </w:rPr>
            </w:pPr>
            <w:r>
              <w:rPr>
                <w:rFonts w:ascii="Arial" w:cs="Arial" w:eastAsia="Arial" w:hAnsi="Arial"/>
                <w:sz w:val="16"/>
                <w:szCs w:val="16"/>
                <w:color w:val="auto"/>
              </w:rPr>
              <w:t>Cash and cash equivalents at the end of the period</w:t>
            </w:r>
          </w:p>
        </w:tc>
        <w:tc>
          <w:tcPr>
            <w:tcW w:w="1500" w:type="dxa"/>
            <w:vAlign w:val="bottom"/>
            <w:tcBorders>
              <w:bottom w:val="single" w:sz="8" w:color="auto"/>
            </w:tcBorders>
          </w:tcPr>
          <w:p>
            <w:pPr>
              <w:jc w:val="right"/>
              <w:ind w:right="13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249,077</w:t>
            </w:r>
          </w:p>
        </w:tc>
        <w:tc>
          <w:tcPr>
            <w:tcW w:w="2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tcPr>
          <w:p>
            <w:pPr>
              <w:jc w:val="right"/>
              <w:ind w:right="13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212,375</w:t>
            </w:r>
          </w:p>
        </w:tc>
      </w:tr>
      <w:tr>
        <w:trPr>
          <w:trHeight w:val="20"/>
        </w:trPr>
        <w:tc>
          <w:tcPr>
            <w:tcW w:w="6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4" w:right="339" w:bottom="1440" w:gutter="0" w:footer="0" w:header="0"/>
        </w:sectPr>
      </w:pPr>
    </w:p>
    <w:bookmarkStart w:id="13" w:name="page14"/>
    <w:bookmarkEnd w:id="13"/>
    <w:p>
      <w:pPr>
        <w:ind w:left="9940"/>
        <w:spacing w:after="0"/>
        <w:rPr>
          <w:sz w:val="20"/>
          <w:szCs w:val="20"/>
          <w:color w:val="auto"/>
        </w:rPr>
      </w:pPr>
      <w:r>
        <w:rPr>
          <w:rFonts w:ascii="Arial" w:cs="Arial" w:eastAsia="Arial" w:hAnsi="Arial"/>
          <w:sz w:val="18"/>
          <w:szCs w:val="18"/>
          <w:b w:val="1"/>
          <w:bCs w:val="1"/>
          <w:color w:val="auto"/>
        </w:rPr>
        <w:t>Exhibit 99.1</w:t>
      </w:r>
    </w:p>
    <w:p>
      <w:pPr>
        <w:sectPr>
          <w:pgSz w:w="11900" w:h="16838" w:orient="portrait"/>
          <w:cols w:equalWidth="0" w:num="1">
            <w:col w:w="10960"/>
          </w:cols>
          <w:pgMar w:left="60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revenues: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Sales of hardware and other revenues</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5"/>
          <w:szCs w:val="15"/>
          <w:color w:val="auto"/>
        </w:rPr>
        <w:t>Gogoro network Revenue</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Operating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Arial" w:cs="Arial" w:eastAsia="Arial" w:hAnsi="Arial"/>
                <w:sz w:val="16"/>
                <w:szCs w:val="16"/>
                <w:b w:val="1"/>
                <w:bCs w:val="1"/>
                <w:color w:val="auto"/>
              </w:rPr>
              <w:t>GOGORO INC.</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60" w:type="dxa"/>
            <w:vAlign w:val="bottom"/>
            <w:gridSpan w:val="9"/>
          </w:tcPr>
          <w:p>
            <w:pPr>
              <w:jc w:val="center"/>
              <w:ind w:right="379"/>
              <w:spacing w:after="0"/>
              <w:rPr>
                <w:sz w:val="20"/>
                <w:szCs w:val="20"/>
                <w:color w:val="auto"/>
              </w:rPr>
            </w:pPr>
            <w:r>
              <w:rPr>
                <w:rFonts w:ascii="Arial" w:cs="Arial" w:eastAsia="Arial" w:hAnsi="Arial"/>
                <w:sz w:val="16"/>
                <w:szCs w:val="16"/>
                <w:b w:val="1"/>
                <w:bCs w:val="1"/>
                <w:color w:val="auto"/>
                <w:w w:val="93"/>
              </w:rPr>
              <w:t>Reconciliation of IFRS Financial Metrics to Non-IFRS</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6"/>
                <w:szCs w:val="16"/>
                <w:i w:val="1"/>
                <w:iCs w:val="1"/>
                <w:color w:val="auto"/>
              </w:rPr>
              <w:t>(unaudited)</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5"/>
          </w:tcPr>
          <w:p>
            <w:pPr>
              <w:jc w:val="center"/>
              <w:ind w:left="599"/>
              <w:spacing w:after="0"/>
              <w:rPr>
                <w:sz w:val="20"/>
                <w:szCs w:val="20"/>
                <w:color w:val="auto"/>
              </w:rPr>
            </w:pPr>
            <w:r>
              <w:rPr>
                <w:rFonts w:ascii="Arial" w:cs="Arial" w:eastAsia="Arial" w:hAnsi="Arial"/>
                <w:sz w:val="16"/>
                <w:szCs w:val="16"/>
                <w:i w:val="1"/>
                <w:iCs w:val="1"/>
                <w:color w:val="auto"/>
                <w:w w:val="93"/>
              </w:rPr>
              <w:t>(in thousands of U.S. dollars)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8"/>
              </w:rPr>
              <w:t>Three Months Ended September 30,</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39"/>
              <w:spacing w:after="0" w:line="161" w:lineRule="exact"/>
              <w:rPr>
                <w:sz w:val="20"/>
                <w:szCs w:val="20"/>
                <w:color w:val="auto"/>
              </w:rPr>
            </w:pPr>
            <w:r>
              <w:rPr>
                <w:rFonts w:ascii="Arial" w:cs="Arial" w:eastAsia="Arial" w:hAnsi="Arial"/>
                <w:sz w:val="16"/>
                <w:szCs w:val="16"/>
                <w:b w:val="1"/>
                <w:bCs w:val="1"/>
                <w:color w:val="auto"/>
                <w:w w:val="89"/>
              </w:rPr>
              <w:t>Revenue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IFRS revenue</w:t>
            </w:r>
          </w:p>
        </w:tc>
        <w:tc>
          <w:tcPr>
            <w:tcW w:w="148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89"/>
              </w:rPr>
              <w:t>Revenue excluding</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11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5"/>
              </w:rPr>
              <w:t>IFRS revenue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FX effect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2"/>
              </w:rPr>
              <w:t>excluding FX</w:t>
            </w:r>
          </w:p>
        </w:tc>
        <w:tc>
          <w:tcPr>
            <w:tcW w:w="160" w:type="dxa"/>
            <w:vAlign w:val="bottom"/>
          </w:tcPr>
          <w:p>
            <w:pPr>
              <w:spacing w:after="0"/>
              <w:rPr>
                <w:sz w:val="14"/>
                <w:szCs w:val="14"/>
                <w:color w:val="auto"/>
              </w:rPr>
            </w:pPr>
          </w:p>
        </w:tc>
        <w:tc>
          <w:tcPr>
            <w:tcW w:w="11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5"/>
              </w:rPr>
              <w:t>IFRS revenue</w:t>
            </w:r>
          </w:p>
        </w:tc>
        <w:tc>
          <w:tcPr>
            <w:tcW w:w="1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4"/>
              </w:rPr>
              <w:t>FX effect YoY</w:t>
            </w:r>
          </w:p>
        </w:tc>
        <w:tc>
          <w:tcPr>
            <w:tcW w:w="0" w:type="dxa"/>
            <w:vAlign w:val="bottom"/>
          </w:tcPr>
          <w:p>
            <w:pPr>
              <w:spacing w:after="0"/>
              <w:rPr>
                <w:sz w:val="1"/>
                <w:szCs w:val="1"/>
                <w:color w:val="auto"/>
              </w:rPr>
            </w:pPr>
          </w:p>
        </w:tc>
      </w:tr>
      <w:tr>
        <w:trPr>
          <w:trHeight w:val="213"/>
        </w:trPr>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8"/>
              </w:rPr>
              <w:t>effect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YoY change %</w:t>
            </w:r>
          </w:p>
        </w:tc>
        <w:tc>
          <w:tcPr>
            <w:tcW w:w="8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change %</w:t>
            </w:r>
          </w:p>
        </w:tc>
        <w:tc>
          <w:tcPr>
            <w:tcW w:w="0" w:type="dxa"/>
            <w:vAlign w:val="bottom"/>
          </w:tcPr>
          <w:p>
            <w:pPr>
              <w:spacing w:after="0"/>
              <w:rPr>
                <w:sz w:val="1"/>
                <w:szCs w:val="1"/>
                <w:color w:val="auto"/>
              </w:rPr>
            </w:pPr>
          </w:p>
        </w:tc>
      </w:tr>
      <w:tr>
        <w:trPr>
          <w:trHeight w:val="274"/>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71,754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6,470</w:t>
            </w:r>
          </w:p>
        </w:tc>
        <w:tc>
          <w:tcPr>
            <w:tcW w:w="10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78,224</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74,787</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297"/>
        </w:trPr>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30,428</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33,201</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25,842</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17.7 %</w:t>
            </w:r>
          </w:p>
        </w:tc>
        <w:tc>
          <w:tcPr>
            <w:tcW w:w="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28.5 %</w:t>
            </w:r>
          </w:p>
        </w:tc>
        <w:tc>
          <w:tcPr>
            <w:tcW w:w="0" w:type="dxa"/>
            <w:vAlign w:val="bottom"/>
          </w:tcPr>
          <w:p>
            <w:pPr>
              <w:spacing w:after="0"/>
              <w:rPr>
                <w:sz w:val="1"/>
                <w:szCs w:val="1"/>
                <w:color w:val="auto"/>
              </w:rPr>
            </w:pPr>
          </w:p>
        </w:tc>
      </w:tr>
      <w:tr>
        <w:trPr>
          <w:trHeight w:val="213"/>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102,182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9,243</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111,425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100,629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1.5 %</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10.7 %</w:t>
            </w:r>
          </w:p>
        </w:tc>
        <w:tc>
          <w:tcPr>
            <w:tcW w:w="0" w:type="dxa"/>
            <w:vAlign w:val="bottom"/>
          </w:tcPr>
          <w:p>
            <w:pPr>
              <w:spacing w:after="0"/>
              <w:rPr>
                <w:sz w:val="1"/>
                <w:szCs w:val="1"/>
                <w:color w:val="auto"/>
              </w:rPr>
            </w:pPr>
          </w:p>
        </w:tc>
      </w:tr>
      <w:tr>
        <w:trPr>
          <w:trHeight w:val="23"/>
        </w:trPr>
        <w:tc>
          <w:tcPr>
            <w:tcW w:w="14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-1346835</wp:posOffset>
            </wp:positionH>
            <wp:positionV relativeFrom="paragraph">
              <wp:posOffset>-556895</wp:posOffset>
            </wp:positionV>
            <wp:extent cx="6789420"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89420" cy="240030"/>
                    </a:xfrm>
                    <a:prstGeom prst="rect">
                      <a:avLst/>
                    </a:prstGeom>
                    <a:noFill/>
                  </pic:spPr>
                </pic:pic>
              </a:graphicData>
            </a:graphic>
          </wp:anchor>
        </w:drawing>
        <w:drawing>
          <wp:anchor simplePos="0" relativeHeight="251657728" behindDoc="1" locked="0" layoutInCell="0" allowOverlap="1">
            <wp:simplePos x="0" y="0"/>
            <wp:positionH relativeFrom="column">
              <wp:posOffset>-1346835</wp:posOffset>
            </wp:positionH>
            <wp:positionV relativeFrom="paragraph">
              <wp:posOffset>-179705</wp:posOffset>
            </wp:positionV>
            <wp:extent cx="67894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89420" cy="163195"/>
                    </a:xfrm>
                    <a:prstGeom prst="rect">
                      <a:avLst/>
                    </a:prstGeom>
                    <a:noFill/>
                  </pic:spPr>
                </pic:pic>
              </a:graphicData>
            </a:graphic>
          </wp:anchor>
        </w:drawing>
      </w:r>
    </w:p>
    <w:p>
      <w:pPr>
        <w:spacing w:after="0" w:line="61"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Nine Months Ended September 30,</w:t>
      </w:r>
    </w:p>
    <w:p>
      <w:pPr>
        <w:spacing w:after="0" w:line="26" w:lineRule="exact"/>
        <w:rPr>
          <w:sz w:val="20"/>
          <w:szCs w:val="20"/>
          <w:color w:val="auto"/>
        </w:rPr>
      </w:pPr>
    </w:p>
    <w:p>
      <w:pPr>
        <w:sectPr>
          <w:pgSz w:w="11900" w:h="16838" w:orient="portrait"/>
          <w:cols w:equalWidth="0" w:num="2">
            <w:col w:w="1940" w:space="180"/>
            <w:col w:w="8840"/>
          </w:cols>
          <w:pgMar w:left="600" w:top="104" w:right="339" w:bottom="1440" w:gutter="0" w:footer="0" w:header="0"/>
          <w:type w:val="continuous"/>
        </w:sectPr>
      </w:pP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revenues: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Sales of hardware and other revenues</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5"/>
          <w:szCs w:val="15"/>
          <w:color w:val="auto"/>
        </w:rPr>
        <w:t>Gogoro network Revenue</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Operating revenue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center"/>
              <w:ind w:right="59"/>
              <w:spacing w:after="0" w:line="161" w:lineRule="exact"/>
              <w:rPr>
                <w:sz w:val="20"/>
                <w:szCs w:val="20"/>
                <w:color w:val="auto"/>
              </w:rPr>
            </w:pPr>
            <w:r>
              <w:rPr>
                <w:rFonts w:ascii="Arial" w:cs="Arial" w:eastAsia="Arial" w:hAnsi="Arial"/>
                <w:sz w:val="16"/>
                <w:szCs w:val="16"/>
                <w:b w:val="1"/>
                <w:bCs w:val="1"/>
                <w:color w:val="auto"/>
                <w:w w:val="89"/>
              </w:rPr>
              <w:t>Revenue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IFRS revenue</w:t>
            </w:r>
          </w:p>
        </w:tc>
        <w:tc>
          <w:tcPr>
            <w:tcW w:w="148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89"/>
              </w:rPr>
              <w:t>Revenue excluding</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11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5"/>
              </w:rPr>
              <w:t>IFRS revenue</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FX effect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excluding FX</w:t>
            </w:r>
          </w:p>
        </w:tc>
        <w:tc>
          <w:tcPr>
            <w:tcW w:w="160" w:type="dxa"/>
            <w:vAlign w:val="bottom"/>
          </w:tcPr>
          <w:p>
            <w:pPr>
              <w:spacing w:after="0"/>
              <w:rPr>
                <w:sz w:val="14"/>
                <w:szCs w:val="14"/>
                <w:color w:val="auto"/>
              </w:rPr>
            </w:pPr>
          </w:p>
        </w:tc>
        <w:tc>
          <w:tcPr>
            <w:tcW w:w="11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5"/>
              </w:rPr>
              <w:t>IFRS revenue</w:t>
            </w:r>
          </w:p>
        </w:tc>
        <w:tc>
          <w:tcPr>
            <w:tcW w:w="1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4"/>
              </w:rPr>
              <w:t>FX effect YoY</w:t>
            </w:r>
          </w:p>
        </w:tc>
        <w:tc>
          <w:tcPr>
            <w:tcW w:w="0" w:type="dxa"/>
            <w:vAlign w:val="bottom"/>
          </w:tcPr>
          <w:p>
            <w:pPr>
              <w:spacing w:after="0"/>
              <w:rPr>
                <w:sz w:val="1"/>
                <w:szCs w:val="1"/>
                <w:color w:val="auto"/>
              </w:rPr>
            </w:pPr>
          </w:p>
        </w:tc>
      </w:tr>
      <w:tr>
        <w:trPr>
          <w:trHeight w:val="213"/>
        </w:trPr>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effect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YoY change %</w:t>
            </w:r>
          </w:p>
        </w:tc>
        <w:tc>
          <w:tcPr>
            <w:tcW w:w="8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change %</w:t>
            </w:r>
          </w:p>
        </w:tc>
        <w:tc>
          <w:tcPr>
            <w:tcW w:w="0" w:type="dxa"/>
            <w:vAlign w:val="bottom"/>
          </w:tcPr>
          <w:p>
            <w:pPr>
              <w:spacing w:after="0"/>
              <w:rPr>
                <w:sz w:val="1"/>
                <w:szCs w:val="1"/>
                <w:color w:val="auto"/>
              </w:rPr>
            </w:pPr>
          </w:p>
        </w:tc>
      </w:tr>
      <w:tr>
        <w:trPr>
          <w:trHeight w:val="274"/>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197,131</w:t>
            </w:r>
          </w:p>
        </w:tc>
        <w:tc>
          <w:tcPr>
            <w:tcW w:w="10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9,343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206,474</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172,122</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14.5 %</w:t>
            </w:r>
          </w:p>
        </w:tc>
        <w:tc>
          <w:tcPr>
            <w:tcW w:w="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20.0 %</w:t>
            </w:r>
          </w:p>
        </w:tc>
        <w:tc>
          <w:tcPr>
            <w:tcW w:w="0" w:type="dxa"/>
            <w:vAlign w:val="bottom"/>
          </w:tcPr>
          <w:p>
            <w:pPr>
              <w:spacing w:after="0"/>
              <w:rPr>
                <w:sz w:val="1"/>
                <w:szCs w:val="1"/>
                <w:color w:val="auto"/>
              </w:rPr>
            </w:pPr>
          </w:p>
        </w:tc>
      </w:tr>
      <w:tr>
        <w:trPr>
          <w:trHeight w:val="297"/>
        </w:trPr>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90,229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94,411</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73,294</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23.1 %</w:t>
            </w:r>
          </w:p>
        </w:tc>
        <w:tc>
          <w:tcPr>
            <w:tcW w:w="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28.8 %</w:t>
            </w:r>
          </w:p>
        </w:tc>
        <w:tc>
          <w:tcPr>
            <w:tcW w:w="0" w:type="dxa"/>
            <w:vAlign w:val="bottom"/>
          </w:tcPr>
          <w:p>
            <w:pPr>
              <w:spacing w:after="0"/>
              <w:rPr>
                <w:sz w:val="1"/>
                <w:szCs w:val="1"/>
                <w:color w:val="auto"/>
              </w:rPr>
            </w:pPr>
          </w:p>
        </w:tc>
      </w:tr>
      <w:tr>
        <w:trPr>
          <w:trHeight w:val="213"/>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287,360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300,885</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245,416</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17.1 %</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22.6 %</w:t>
            </w:r>
          </w:p>
        </w:tc>
        <w:tc>
          <w:tcPr>
            <w:tcW w:w="0" w:type="dxa"/>
            <w:vAlign w:val="bottom"/>
          </w:tcPr>
          <w:p>
            <w:pPr>
              <w:spacing w:after="0"/>
              <w:rPr>
                <w:sz w:val="1"/>
                <w:szCs w:val="1"/>
                <w:color w:val="auto"/>
              </w:rPr>
            </w:pPr>
          </w:p>
        </w:tc>
      </w:tr>
      <w:tr>
        <w:trPr>
          <w:trHeight w:val="23"/>
        </w:trPr>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-1346835</wp:posOffset>
            </wp:positionH>
            <wp:positionV relativeFrom="paragraph">
              <wp:posOffset>-556895</wp:posOffset>
            </wp:positionV>
            <wp:extent cx="6789420"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89420" cy="240030"/>
                    </a:xfrm>
                    <a:prstGeom prst="rect">
                      <a:avLst/>
                    </a:prstGeom>
                    <a:noFill/>
                  </pic:spPr>
                </pic:pic>
              </a:graphicData>
            </a:graphic>
          </wp:anchor>
        </w:drawing>
        <w:drawing>
          <wp:anchor simplePos="0" relativeHeight="251657728" behindDoc="1" locked="0" layoutInCell="0" allowOverlap="1">
            <wp:simplePos x="0" y="0"/>
            <wp:positionH relativeFrom="column">
              <wp:posOffset>-1346835</wp:posOffset>
            </wp:positionH>
            <wp:positionV relativeFrom="paragraph">
              <wp:posOffset>-179070</wp:posOffset>
            </wp:positionV>
            <wp:extent cx="67894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894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40" w:space="180"/>
            <w:col w:w="8840"/>
          </w:cols>
          <w:pgMar w:left="600" w:top="104" w:right="3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6"/>
                <w:szCs w:val="16"/>
                <w:b w:val="1"/>
                <w:bCs w:val="1"/>
                <w:color w:val="auto"/>
              </w:rPr>
              <w:t>Three Months Ended September 30,</w:t>
            </w:r>
          </w:p>
        </w:tc>
        <w:tc>
          <w:tcPr>
            <w:tcW w:w="5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6"/>
                <w:szCs w:val="16"/>
                <w:b w:val="1"/>
                <w:bCs w:val="1"/>
                <w:color w:val="auto"/>
              </w:rPr>
              <w:t>Nine Months Ended September 30,</w:t>
            </w:r>
          </w:p>
        </w:tc>
        <w:tc>
          <w:tcPr>
            <w:tcW w:w="520" w:type="dxa"/>
            <w:vAlign w:val="bottom"/>
            <w:tcBorders>
              <w:bottom w:val="single" w:sz="8" w:color="auto"/>
            </w:tcBorders>
          </w:tcPr>
          <w:p>
            <w:pPr>
              <w:spacing w:after="0"/>
              <w:rPr>
                <w:sz w:val="18"/>
                <w:szCs w:val="18"/>
                <w:color w:val="auto"/>
              </w:rPr>
            </w:pPr>
          </w:p>
        </w:tc>
      </w:tr>
      <w:tr>
        <w:trPr>
          <w:trHeight w:val="210"/>
        </w:trPr>
        <w:tc>
          <w:tcPr>
            <w:tcW w:w="34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r>
      <w:tr>
        <w:trPr>
          <w:trHeight w:val="212"/>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 and gross margin</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17,809</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17.4 %</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17,399</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17.3 %</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43,383</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15.1 %</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35,823</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14.6 %</w:t>
            </w:r>
          </w:p>
        </w:tc>
      </w:tr>
      <w:tr>
        <w:trPr>
          <w:trHeight w:val="213"/>
        </w:trPr>
        <w:tc>
          <w:tcPr>
            <w:tcW w:w="3460" w:type="dxa"/>
            <w:vAlign w:val="bottom"/>
          </w:tcPr>
          <w:p>
            <w:pPr>
              <w:ind w:left="120"/>
              <w:spacing w:after="0"/>
              <w:rPr>
                <w:sz w:val="20"/>
                <w:szCs w:val="20"/>
                <w:color w:val="auto"/>
              </w:rPr>
            </w:pPr>
            <w:r>
              <w:rPr>
                <w:rFonts w:ascii="Arial" w:cs="Arial" w:eastAsia="Arial" w:hAnsi="Arial"/>
                <w:sz w:val="16"/>
                <w:szCs w:val="16"/>
                <w:color w:val="auto"/>
              </w:rPr>
              <w:t>Share-based compensation expense</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1,003</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2,921</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Exit activities</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r>
      <w:tr>
        <w:trPr>
          <w:trHeight w:val="213"/>
        </w:trPr>
        <w:tc>
          <w:tcPr>
            <w:tcW w:w="3460" w:type="dxa"/>
            <w:vAlign w:val="bottom"/>
          </w:tcPr>
          <w:p>
            <w:pPr>
              <w:ind w:left="20"/>
              <w:spacing w:after="0"/>
              <w:rPr>
                <w:sz w:val="20"/>
                <w:szCs w:val="20"/>
                <w:color w:val="auto"/>
              </w:rPr>
            </w:pPr>
            <w:r>
              <w:rPr>
                <w:rFonts w:ascii="Arial" w:cs="Arial" w:eastAsia="Arial" w:hAnsi="Arial"/>
                <w:sz w:val="16"/>
                <w:szCs w:val="16"/>
                <w:color w:val="auto"/>
              </w:rPr>
              <w:t>Non-IFRS gross profit and gross margin</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20,473</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20.0 %</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17,399</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2"/>
              </w:rPr>
              <w:t>17.3 %</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47,965</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16.7 %</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35,823</w:t>
            </w: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14.6 %</w:t>
            </w:r>
          </w:p>
        </w:tc>
      </w:tr>
      <w:tr>
        <w:trPr>
          <w:trHeight w:val="20"/>
        </w:trPr>
        <w:tc>
          <w:tcPr>
            <w:tcW w:w="3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Pr>
          <w:p>
            <w:pPr>
              <w:spacing w:after="0"/>
              <w:rPr>
                <w:sz w:val="18"/>
                <w:szCs w:val="18"/>
                <w:color w:val="auto"/>
              </w:rPr>
            </w:pPr>
          </w:p>
        </w:tc>
        <w:tc>
          <w:tcPr>
            <w:tcW w:w="320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w w:val="99"/>
              </w:rPr>
              <w:t>Nine Months Ended September 30,</w:t>
            </w:r>
          </w:p>
        </w:tc>
      </w:tr>
      <w:tr>
        <w:trPr>
          <w:trHeight w:val="210"/>
        </w:trPr>
        <w:tc>
          <w:tcPr>
            <w:tcW w:w="34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r>
      <w:tr>
        <w:trPr>
          <w:trHeight w:val="212"/>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56,393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(13,388)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(86,376)</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(53,203)</w:t>
            </w:r>
          </w:p>
        </w:tc>
      </w:tr>
      <w:tr>
        <w:trPr>
          <w:trHeight w:val="213"/>
        </w:trPr>
        <w:tc>
          <w:tcPr>
            <w:tcW w:w="3460" w:type="dxa"/>
            <w:vAlign w:val="bottom"/>
          </w:tcPr>
          <w:p>
            <w:pPr>
              <w:ind w:left="120"/>
              <w:spacing w:after="0"/>
              <w:rPr>
                <w:sz w:val="20"/>
                <w:szCs w:val="20"/>
                <w:color w:val="auto"/>
              </w:rPr>
            </w:pPr>
            <w:r>
              <w:rPr>
                <w:rFonts w:ascii="Arial" w:cs="Arial" w:eastAsia="Arial" w:hAnsi="Arial"/>
                <w:sz w:val="16"/>
                <w:szCs w:val="16"/>
                <w:color w:val="auto"/>
              </w:rPr>
              <w:t>Share based compensation</w:t>
            </w:r>
          </w:p>
        </w:tc>
        <w:tc>
          <w:tcPr>
            <w:tcW w:w="3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11,353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26,734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9"/>
        </w:trPr>
        <w:tc>
          <w:tcPr>
            <w:tcW w:w="3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 in fair value of financial liabilities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(85,755)</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1,656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(189,560)</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5,492</w:t>
            </w:r>
          </w:p>
        </w:tc>
      </w:tr>
      <w:tr>
        <w:trPr>
          <w:trHeight w:val="213"/>
        </w:trPr>
        <w:tc>
          <w:tcPr>
            <w:tcW w:w="3460" w:type="dxa"/>
            <w:vAlign w:val="bottom"/>
          </w:tcPr>
          <w:p>
            <w:pPr>
              <w:ind w:left="120"/>
              <w:spacing w:after="0"/>
              <w:rPr>
                <w:sz w:val="20"/>
                <w:szCs w:val="20"/>
                <w:color w:val="auto"/>
              </w:rPr>
            </w:pPr>
            <w:r>
              <w:rPr>
                <w:rFonts w:ascii="Arial" w:cs="Arial" w:eastAsia="Arial" w:hAnsi="Arial"/>
                <w:sz w:val="16"/>
                <w:szCs w:val="16"/>
                <w:color w:val="auto"/>
              </w:rPr>
              <w:t>Acquisition-related expenses</w:t>
            </w:r>
          </w:p>
        </w:tc>
        <w:tc>
          <w:tcPr>
            <w:tcW w:w="32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20,855</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9"/>
        </w:trPr>
        <w:tc>
          <w:tcPr>
            <w:tcW w:w="3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Listing expense</w:t>
            </w:r>
          </w:p>
        </w:tc>
        <w:tc>
          <w:tcPr>
            <w:tcW w:w="3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178,804</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3460" w:type="dxa"/>
            <w:vAlign w:val="bottom"/>
          </w:tcPr>
          <w:p>
            <w:pPr>
              <w:ind w:left="120"/>
              <w:spacing w:after="0"/>
              <w:rPr>
                <w:sz w:val="20"/>
                <w:szCs w:val="20"/>
                <w:color w:val="auto"/>
              </w:rPr>
            </w:pPr>
            <w:r>
              <w:rPr>
                <w:rFonts w:ascii="Arial" w:cs="Arial" w:eastAsia="Arial" w:hAnsi="Arial"/>
                <w:sz w:val="16"/>
                <w:szCs w:val="16"/>
                <w:color w:val="auto"/>
              </w:rPr>
              <w:t>Exit activities</w:t>
            </w:r>
          </w:p>
        </w:tc>
        <w:tc>
          <w:tcPr>
            <w:tcW w:w="3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1,661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1,661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38"/>
        </w:trPr>
        <w:tc>
          <w:tcPr>
            <w:tcW w:w="346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Non-IFRS net loss</w:t>
            </w:r>
          </w:p>
        </w:tc>
        <w:tc>
          <w:tcPr>
            <w:tcW w:w="320" w:type="dxa"/>
            <w:vAlign w:val="bottom"/>
            <w:tcBorders>
              <w:top w:val="single" w:sz="8" w:color="auto"/>
              <w:bottom w:val="single" w:sz="8" w:color="auto"/>
            </w:tcBorders>
            <w:shd w:val="clear" w:color="auto" w:fill="BFE4FF"/>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BFE4FF"/>
          </w:tcPr>
          <w:p>
            <w:pPr>
              <w:jc w:val="right"/>
              <w:ind w:right="79"/>
              <w:spacing w:after="0"/>
              <w:rPr>
                <w:sz w:val="20"/>
                <w:szCs w:val="20"/>
                <w:color w:val="auto"/>
              </w:rPr>
            </w:pPr>
            <w:r>
              <w:rPr>
                <w:rFonts w:ascii="Arial" w:cs="Arial" w:eastAsia="Arial" w:hAnsi="Arial"/>
                <w:sz w:val="16"/>
                <w:szCs w:val="16"/>
                <w:color w:val="auto"/>
              </w:rPr>
              <w:t>(16,348)</w:t>
            </w:r>
          </w:p>
        </w:tc>
        <w:tc>
          <w:tcPr>
            <w:tcW w:w="160" w:type="dxa"/>
            <w:vAlign w:val="bottom"/>
            <w:tcBorders>
              <w:top w:val="single" w:sz="8" w:color="BFE4FF"/>
              <w:bottom w:val="single" w:sz="8" w:color="BFE4FF"/>
            </w:tcBorders>
            <w:shd w:val="clear" w:color="auto" w:fill="BFE4FF"/>
          </w:tcPr>
          <w:p>
            <w:pPr>
              <w:spacing w:after="0"/>
              <w:rPr>
                <w:sz w:val="20"/>
                <w:szCs w:val="20"/>
                <w:color w:val="auto"/>
              </w:rPr>
            </w:pPr>
          </w:p>
        </w:tc>
        <w:tc>
          <w:tcPr>
            <w:tcW w:w="400" w:type="dxa"/>
            <w:vAlign w:val="bottom"/>
            <w:tcBorders>
              <w:top w:val="single" w:sz="8" w:color="auto"/>
              <w:bottom w:val="single" w:sz="8" w:color="auto"/>
            </w:tcBorders>
            <w:shd w:val="clear" w:color="auto" w:fill="BFE4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BFE4FF"/>
          </w:tcPr>
          <w:p>
            <w:pPr>
              <w:jc w:val="right"/>
              <w:ind w:right="99"/>
              <w:spacing w:after="0"/>
              <w:rPr>
                <w:sz w:val="20"/>
                <w:szCs w:val="20"/>
                <w:color w:val="auto"/>
              </w:rPr>
            </w:pPr>
            <w:r>
              <w:rPr>
                <w:rFonts w:ascii="Arial" w:cs="Arial" w:eastAsia="Arial" w:hAnsi="Arial"/>
                <w:sz w:val="16"/>
                <w:szCs w:val="16"/>
                <w:color w:val="auto"/>
              </w:rPr>
              <w:t>(11,732)</w:t>
            </w:r>
          </w:p>
        </w:tc>
        <w:tc>
          <w:tcPr>
            <w:tcW w:w="160" w:type="dxa"/>
            <w:vAlign w:val="bottom"/>
            <w:tcBorders>
              <w:top w:val="single" w:sz="8" w:color="BFE4FF"/>
              <w:bottom w:val="single" w:sz="8" w:color="BFE4FF"/>
            </w:tcBorders>
            <w:shd w:val="clear" w:color="auto" w:fill="BFE4FF"/>
          </w:tcPr>
          <w:p>
            <w:pPr>
              <w:spacing w:after="0"/>
              <w:rPr>
                <w:sz w:val="20"/>
                <w:szCs w:val="20"/>
                <w:color w:val="auto"/>
              </w:rPr>
            </w:pPr>
          </w:p>
        </w:tc>
        <w:tc>
          <w:tcPr>
            <w:tcW w:w="320" w:type="dxa"/>
            <w:vAlign w:val="bottom"/>
            <w:tcBorders>
              <w:top w:val="single" w:sz="8" w:color="auto"/>
              <w:bottom w:val="single" w:sz="8" w:color="auto"/>
            </w:tcBorders>
            <w:shd w:val="clear" w:color="auto" w:fill="BFE4FF"/>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BFE4FF"/>
          </w:tcPr>
          <w:p>
            <w:pPr>
              <w:jc w:val="right"/>
              <w:ind w:right="79"/>
              <w:spacing w:after="0"/>
              <w:rPr>
                <w:sz w:val="20"/>
                <w:szCs w:val="20"/>
                <w:color w:val="auto"/>
              </w:rPr>
            </w:pPr>
            <w:r>
              <w:rPr>
                <w:rFonts w:ascii="Arial" w:cs="Arial" w:eastAsia="Arial" w:hAnsi="Arial"/>
                <w:sz w:val="16"/>
                <w:szCs w:val="16"/>
                <w:color w:val="auto"/>
              </w:rPr>
              <w:t>(47,882)</w:t>
            </w:r>
          </w:p>
        </w:tc>
        <w:tc>
          <w:tcPr>
            <w:tcW w:w="160" w:type="dxa"/>
            <w:vAlign w:val="bottom"/>
            <w:tcBorders>
              <w:top w:val="single" w:sz="8" w:color="BFE4FF"/>
              <w:bottom w:val="single" w:sz="8" w:color="BFE4FF"/>
            </w:tcBorders>
            <w:shd w:val="clear" w:color="auto" w:fill="BFE4FF"/>
          </w:tcPr>
          <w:p>
            <w:pPr>
              <w:spacing w:after="0"/>
              <w:rPr>
                <w:sz w:val="20"/>
                <w:szCs w:val="20"/>
                <w:color w:val="auto"/>
              </w:rPr>
            </w:pPr>
          </w:p>
        </w:tc>
        <w:tc>
          <w:tcPr>
            <w:tcW w:w="400" w:type="dxa"/>
            <w:vAlign w:val="bottom"/>
            <w:tcBorders>
              <w:top w:val="single" w:sz="8" w:color="auto"/>
              <w:bottom w:val="single" w:sz="8" w:color="auto"/>
            </w:tcBorders>
            <w:shd w:val="clear" w:color="auto" w:fill="BFE4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BFE4FF"/>
          </w:tcPr>
          <w:p>
            <w:pPr>
              <w:jc w:val="right"/>
              <w:ind w:right="79"/>
              <w:spacing w:after="0"/>
              <w:rPr>
                <w:sz w:val="20"/>
                <w:szCs w:val="20"/>
                <w:color w:val="auto"/>
              </w:rPr>
            </w:pPr>
            <w:r>
              <w:rPr>
                <w:rFonts w:ascii="Arial" w:cs="Arial" w:eastAsia="Arial" w:hAnsi="Arial"/>
                <w:sz w:val="16"/>
                <w:szCs w:val="16"/>
                <w:color w:val="auto"/>
              </w:rPr>
              <w:t>(47,711)</w:t>
            </w:r>
          </w:p>
        </w:tc>
      </w:tr>
      <w:tr>
        <w:trPr>
          <w:trHeight w:val="20"/>
        </w:trPr>
        <w:tc>
          <w:tcPr>
            <w:tcW w:w="346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BFE4FF"/>
              <w:bottom w:val="single" w:sz="8" w:color="auto"/>
            </w:tcBorders>
          </w:tcPr>
          <w:p>
            <w:pPr>
              <w:spacing w:after="0" w:line="20" w:lineRule="exact"/>
              <w:rPr>
                <w:sz w:val="1"/>
                <w:szCs w:val="1"/>
                <w:color w:val="auto"/>
              </w:rPr>
            </w:pPr>
          </w:p>
        </w:tc>
        <w:tc>
          <w:tcPr>
            <w:tcW w:w="1360" w:type="dxa"/>
            <w:vAlign w:val="bottom"/>
            <w:tcBorders>
              <w:top w:val="single" w:sz="8" w:color="BFE4FF"/>
              <w:bottom w:val="single" w:sz="8" w:color="auto"/>
            </w:tcBorders>
          </w:tcPr>
          <w:p>
            <w:pPr>
              <w:spacing w:after="0" w:line="20" w:lineRule="exact"/>
              <w:rPr>
                <w:sz w:val="1"/>
                <w:szCs w:val="1"/>
                <w:color w:val="auto"/>
              </w:rPr>
            </w:pPr>
          </w:p>
        </w:tc>
        <w:tc>
          <w:tcPr>
            <w:tcW w:w="160" w:type="dxa"/>
            <w:vAlign w:val="bottom"/>
            <w:tcBorders>
              <w:top w:val="single" w:sz="8" w:color="BFE4FF"/>
            </w:tcBorders>
          </w:tcPr>
          <w:p>
            <w:pPr>
              <w:spacing w:after="0" w:line="20" w:lineRule="exact"/>
              <w:rPr>
                <w:sz w:val="1"/>
                <w:szCs w:val="1"/>
                <w:color w:val="auto"/>
              </w:rPr>
            </w:pPr>
          </w:p>
        </w:tc>
        <w:tc>
          <w:tcPr>
            <w:tcW w:w="400" w:type="dxa"/>
            <w:vAlign w:val="bottom"/>
            <w:tcBorders>
              <w:top w:val="single" w:sz="8" w:color="BFE4FF"/>
              <w:bottom w:val="single" w:sz="8" w:color="auto"/>
            </w:tcBorders>
          </w:tcPr>
          <w:p>
            <w:pPr>
              <w:spacing w:after="0" w:line="20" w:lineRule="exact"/>
              <w:rPr>
                <w:sz w:val="1"/>
                <w:szCs w:val="1"/>
                <w:color w:val="auto"/>
              </w:rPr>
            </w:pPr>
          </w:p>
        </w:tc>
        <w:tc>
          <w:tcPr>
            <w:tcW w:w="1300" w:type="dxa"/>
            <w:vAlign w:val="bottom"/>
            <w:tcBorders>
              <w:top w:val="single" w:sz="8" w:color="BFE4FF"/>
              <w:bottom w:val="single" w:sz="8" w:color="auto"/>
            </w:tcBorders>
          </w:tcPr>
          <w:p>
            <w:pPr>
              <w:spacing w:after="0" w:line="20" w:lineRule="exact"/>
              <w:rPr>
                <w:sz w:val="1"/>
                <w:szCs w:val="1"/>
                <w:color w:val="auto"/>
              </w:rPr>
            </w:pPr>
          </w:p>
        </w:tc>
        <w:tc>
          <w:tcPr>
            <w:tcW w:w="16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BFE4FF"/>
              <w:bottom w:val="single" w:sz="8" w:color="auto"/>
            </w:tcBorders>
          </w:tcPr>
          <w:p>
            <w:pPr>
              <w:spacing w:after="0" w:line="20" w:lineRule="exact"/>
              <w:rPr>
                <w:sz w:val="1"/>
                <w:szCs w:val="1"/>
                <w:color w:val="auto"/>
              </w:rPr>
            </w:pPr>
          </w:p>
        </w:tc>
        <w:tc>
          <w:tcPr>
            <w:tcW w:w="1360" w:type="dxa"/>
            <w:vAlign w:val="bottom"/>
            <w:tcBorders>
              <w:top w:val="single" w:sz="8" w:color="BFE4FF"/>
              <w:bottom w:val="single" w:sz="8" w:color="auto"/>
            </w:tcBorders>
          </w:tcPr>
          <w:p>
            <w:pPr>
              <w:spacing w:after="0" w:line="20" w:lineRule="exact"/>
              <w:rPr>
                <w:sz w:val="1"/>
                <w:szCs w:val="1"/>
                <w:color w:val="auto"/>
              </w:rPr>
            </w:pPr>
          </w:p>
        </w:tc>
        <w:tc>
          <w:tcPr>
            <w:tcW w:w="160" w:type="dxa"/>
            <w:vAlign w:val="bottom"/>
            <w:tcBorders>
              <w:top w:val="single" w:sz="8" w:color="BFE4FF"/>
            </w:tcBorders>
          </w:tcPr>
          <w:p>
            <w:pPr>
              <w:spacing w:after="0" w:line="20" w:lineRule="exact"/>
              <w:rPr>
                <w:sz w:val="1"/>
                <w:szCs w:val="1"/>
                <w:color w:val="auto"/>
              </w:rPr>
            </w:pPr>
          </w:p>
        </w:tc>
        <w:tc>
          <w:tcPr>
            <w:tcW w:w="400" w:type="dxa"/>
            <w:vAlign w:val="bottom"/>
            <w:tcBorders>
              <w:top w:val="single" w:sz="8" w:color="BFE4FF"/>
              <w:bottom w:val="single" w:sz="8" w:color="auto"/>
            </w:tcBorders>
          </w:tcPr>
          <w:p>
            <w:pPr>
              <w:spacing w:after="0" w:line="20" w:lineRule="exact"/>
              <w:rPr>
                <w:sz w:val="1"/>
                <w:szCs w:val="1"/>
                <w:color w:val="auto"/>
              </w:rPr>
            </w:pPr>
          </w:p>
        </w:tc>
        <w:tc>
          <w:tcPr>
            <w:tcW w:w="1280" w:type="dxa"/>
            <w:vAlign w:val="bottom"/>
            <w:tcBorders>
              <w:top w:val="single" w:sz="8" w:color="BFE4FF"/>
              <w:bottom w:val="single" w:sz="8" w:color="auto"/>
            </w:tcBorders>
          </w:tcPr>
          <w:p>
            <w:pPr>
              <w:spacing w:after="0" w:line="20" w:lineRule="exact"/>
              <w:rPr>
                <w:sz w:val="1"/>
                <w:szCs w:val="1"/>
                <w:color w:val="auto"/>
              </w:rPr>
            </w:pPr>
          </w:p>
        </w:tc>
      </w:tr>
    </w:tbl>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Pr>
          <w:p>
            <w:pPr>
              <w:spacing w:after="0"/>
              <w:rPr>
                <w:sz w:val="18"/>
                <w:szCs w:val="18"/>
                <w:color w:val="auto"/>
              </w:rPr>
            </w:pPr>
          </w:p>
        </w:tc>
        <w:tc>
          <w:tcPr>
            <w:tcW w:w="320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w w:val="99"/>
              </w:rPr>
              <w:t>Nine Months Ended September 30,</w:t>
            </w:r>
          </w:p>
        </w:tc>
      </w:tr>
      <w:tr>
        <w:trPr>
          <w:trHeight w:val="210"/>
        </w:trPr>
        <w:tc>
          <w:tcPr>
            <w:tcW w:w="34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r>
      <w:tr>
        <w:trPr>
          <w:trHeight w:val="212"/>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56,393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(13,388)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(86,376)</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(53,203)</w:t>
            </w:r>
          </w:p>
        </w:tc>
      </w:tr>
      <w:tr>
        <w:trPr>
          <w:trHeight w:val="213"/>
        </w:trPr>
        <w:tc>
          <w:tcPr>
            <w:tcW w:w="346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1,651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2,836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6,940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7,613</w:t>
            </w:r>
          </w:p>
        </w:tc>
      </w:tr>
      <w:tr>
        <w:trPr>
          <w:trHeight w:val="219"/>
        </w:trPr>
        <w:tc>
          <w:tcPr>
            <w:tcW w:w="3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23,895</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24,139</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72,976</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69,517</w:t>
            </w:r>
          </w:p>
        </w:tc>
      </w:tr>
      <w:tr>
        <w:trPr>
          <w:trHeight w:val="207"/>
        </w:trPr>
        <w:tc>
          <w:tcPr>
            <w:tcW w:w="3460" w:type="dxa"/>
            <w:vAlign w:val="bottom"/>
          </w:tcPr>
          <w:p>
            <w:pPr>
              <w:ind w:left="20"/>
              <w:spacing w:after="0"/>
              <w:rPr>
                <w:sz w:val="20"/>
                <w:szCs w:val="20"/>
                <w:color w:val="auto"/>
              </w:rPr>
            </w:pPr>
            <w:r>
              <w:rPr>
                <w:rFonts w:ascii="Arial" w:cs="Arial" w:eastAsia="Arial" w:hAnsi="Arial"/>
                <w:sz w:val="16"/>
                <w:szCs w:val="16"/>
                <w:color w:val="auto"/>
              </w:rPr>
              <w:t>EBITDA</w:t>
            </w:r>
          </w:p>
        </w:tc>
        <w:tc>
          <w:tcPr>
            <w:tcW w:w="320" w:type="dxa"/>
            <w:vAlign w:val="bottom"/>
          </w:tcPr>
          <w:p>
            <w:pPr>
              <w:spacing w:after="0"/>
              <w:rPr>
                <w:sz w:val="17"/>
                <w:szCs w:val="17"/>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81,939</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13,587</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(6,460)</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23,927</w:t>
            </w:r>
          </w:p>
        </w:tc>
      </w:tr>
      <w:tr>
        <w:trPr>
          <w:trHeight w:val="219"/>
        </w:trPr>
        <w:tc>
          <w:tcPr>
            <w:tcW w:w="3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Share-based compensation expense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11,353</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26,734</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3460" w:type="dxa"/>
            <w:vAlign w:val="bottom"/>
          </w:tcPr>
          <w:p>
            <w:pPr>
              <w:ind w:left="120"/>
              <w:spacing w:after="0"/>
              <w:rPr>
                <w:sz w:val="20"/>
                <w:szCs w:val="20"/>
                <w:color w:val="auto"/>
              </w:rPr>
            </w:pPr>
            <w:r>
              <w:rPr>
                <w:rFonts w:ascii="Arial" w:cs="Arial" w:eastAsia="Arial" w:hAnsi="Arial"/>
                <w:sz w:val="16"/>
                <w:szCs w:val="16"/>
                <w:color w:val="auto"/>
              </w:rPr>
              <w:t>Change in fair value of financial liabilities</w:t>
            </w:r>
          </w:p>
        </w:tc>
        <w:tc>
          <w:tcPr>
            <w:tcW w:w="32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(85,755)</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1,656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(189,560)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5,492</w:t>
            </w:r>
          </w:p>
        </w:tc>
      </w:tr>
      <w:tr>
        <w:trPr>
          <w:trHeight w:val="219"/>
        </w:trPr>
        <w:tc>
          <w:tcPr>
            <w:tcW w:w="3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Acquisition-related expenses</w:t>
            </w:r>
          </w:p>
        </w:tc>
        <w:tc>
          <w:tcPr>
            <w:tcW w:w="3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20,855</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3460" w:type="dxa"/>
            <w:vAlign w:val="bottom"/>
          </w:tcPr>
          <w:p>
            <w:pPr>
              <w:ind w:left="120"/>
              <w:spacing w:after="0"/>
              <w:rPr>
                <w:sz w:val="20"/>
                <w:szCs w:val="20"/>
                <w:color w:val="auto"/>
              </w:rPr>
            </w:pPr>
            <w:r>
              <w:rPr>
                <w:rFonts w:ascii="Arial" w:cs="Arial" w:eastAsia="Arial" w:hAnsi="Arial"/>
                <w:sz w:val="16"/>
                <w:szCs w:val="16"/>
                <w:color w:val="auto"/>
              </w:rPr>
              <w:t>Listing expense</w:t>
            </w:r>
          </w:p>
        </w:tc>
        <w:tc>
          <w:tcPr>
            <w:tcW w:w="32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178,804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Exit activities</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1,661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1,661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34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9,198</w:t>
            </w:r>
          </w:p>
        </w:tc>
        <w:tc>
          <w:tcPr>
            <w:tcW w:w="16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15,243</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32,034</w:t>
            </w:r>
          </w:p>
        </w:tc>
        <w:tc>
          <w:tcPr>
            <w:tcW w:w="16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29,419</w:t>
            </w:r>
          </w:p>
        </w:tc>
      </w:tr>
      <w:tr>
        <w:trPr>
          <w:trHeight w:val="20"/>
        </w:trPr>
        <w:tc>
          <w:tcPr>
            <w:tcW w:w="3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60"/>
          </w:cols>
          <w:pgMar w:left="600" w:top="1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10</w:t>
      </w:r>
    </w:p>
    <w:sectPr>
      <w:pgSz w:w="11900" w:h="16838" w:orient="portrait"/>
      <w:cols w:equalWidth="0" w:num="1">
        <w:col w:w="10960"/>
      </w:cols>
      <w:pgMar w:left="600" w:top="10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2022-11-10T05:58:12Z</dcterms:created>
  <dcterms:modified xsi:type="dcterms:W3CDTF">2022-11-10T05:58:12Z</dcterms:modified>
</cp:coreProperties>
</file>